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98"/>
        <w:tblW w:w="0" w:type="auto"/>
        <w:tblBorders>
          <w:top w:val="single" w:sz="4" w:space="0" w:color="6386B1"/>
          <w:left w:val="single" w:sz="4" w:space="0" w:color="6386B1"/>
          <w:bottom w:val="single" w:sz="4" w:space="0" w:color="6386B1"/>
          <w:right w:val="single" w:sz="4" w:space="0" w:color="6386B1"/>
          <w:insideH w:val="single" w:sz="4" w:space="0" w:color="6386B1"/>
          <w:insideV w:val="single" w:sz="4" w:space="0" w:color="6386B1"/>
        </w:tblBorders>
        <w:tblLayout w:type="fixed"/>
        <w:tblLook w:val="0000" w:firstRow="0" w:lastRow="0" w:firstColumn="0" w:lastColumn="0" w:noHBand="0" w:noVBand="0"/>
      </w:tblPr>
      <w:tblGrid>
        <w:gridCol w:w="1350"/>
        <w:gridCol w:w="3438"/>
      </w:tblGrid>
      <w:tr w:rsidR="00624747" w14:paraId="6BCDA0BE" w14:textId="77777777" w:rsidTr="00C57DCD">
        <w:trPr>
          <w:trHeight w:hRule="exact" w:val="460"/>
        </w:trPr>
        <w:tc>
          <w:tcPr>
            <w:tcW w:w="1350" w:type="dxa"/>
          </w:tcPr>
          <w:p w14:paraId="27C36C70" w14:textId="77777777" w:rsidR="00624747" w:rsidRDefault="00624747" w:rsidP="00E43D4F">
            <w:pPr>
              <w:tabs>
                <w:tab w:val="left" w:pos="1800"/>
              </w:tabs>
              <w:spacing w:before="80" w:after="80"/>
              <w:jc w:val="right"/>
              <w:rPr>
                <w:b/>
              </w:rPr>
            </w:pPr>
            <w:r>
              <w:rPr>
                <w:b/>
              </w:rPr>
              <w:t>Policy #:</w:t>
            </w:r>
          </w:p>
        </w:tc>
        <w:tc>
          <w:tcPr>
            <w:tcW w:w="3438" w:type="dxa"/>
            <w:vAlign w:val="center"/>
          </w:tcPr>
          <w:p w14:paraId="0F23DDEE" w14:textId="77777777" w:rsidR="00624747" w:rsidRPr="007D2202" w:rsidRDefault="00624747" w:rsidP="00C57DCD">
            <w:pPr>
              <w:tabs>
                <w:tab w:val="left" w:pos="1800"/>
              </w:tabs>
              <w:spacing w:before="80" w:after="80"/>
            </w:pPr>
            <w:r>
              <w:t xml:space="preserve"> </w:t>
            </w:r>
          </w:p>
          <w:p w14:paraId="6E05B3BF" w14:textId="77777777" w:rsidR="00624747" w:rsidRPr="007D2202" w:rsidRDefault="00624747" w:rsidP="00C57DCD">
            <w:pPr>
              <w:tabs>
                <w:tab w:val="left" w:pos="1800"/>
              </w:tabs>
              <w:spacing w:before="80" w:after="80"/>
            </w:pPr>
            <w:r w:rsidRPr="007D2202">
              <w:t xml:space="preserve">  </w:t>
            </w:r>
          </w:p>
        </w:tc>
      </w:tr>
      <w:tr w:rsidR="00624747" w14:paraId="3D7CD7BE" w14:textId="77777777" w:rsidTr="00C57DCD">
        <w:trPr>
          <w:trHeight w:hRule="exact" w:val="360"/>
        </w:trPr>
        <w:tc>
          <w:tcPr>
            <w:tcW w:w="1350" w:type="dxa"/>
          </w:tcPr>
          <w:p w14:paraId="4A9C8AB0" w14:textId="77777777" w:rsidR="00624747" w:rsidRDefault="00624747" w:rsidP="00E43D4F">
            <w:pPr>
              <w:tabs>
                <w:tab w:val="left" w:pos="1800"/>
              </w:tabs>
              <w:spacing w:before="80" w:after="80"/>
              <w:jc w:val="right"/>
              <w:rPr>
                <w:b/>
              </w:rPr>
            </w:pPr>
            <w:r>
              <w:rPr>
                <w:b/>
              </w:rPr>
              <w:t>Issued:</w:t>
            </w:r>
          </w:p>
        </w:tc>
        <w:tc>
          <w:tcPr>
            <w:tcW w:w="3438" w:type="dxa"/>
            <w:vAlign w:val="center"/>
          </w:tcPr>
          <w:p w14:paraId="728170E7" w14:textId="77777777" w:rsidR="00624747" w:rsidRDefault="00C57DCD" w:rsidP="00C57DCD">
            <w:pPr>
              <w:tabs>
                <w:tab w:val="left" w:pos="870"/>
              </w:tabs>
              <w:spacing w:before="80" w:after="80"/>
            </w:pPr>
            <w:r>
              <w:t>August 2016</w:t>
            </w:r>
          </w:p>
          <w:p w14:paraId="6AD54E7E" w14:textId="77777777" w:rsidR="00624747" w:rsidRDefault="00624747" w:rsidP="00C57DCD">
            <w:pPr>
              <w:tabs>
                <w:tab w:val="left" w:pos="1800"/>
              </w:tabs>
              <w:spacing w:before="80" w:after="80"/>
            </w:pPr>
          </w:p>
          <w:p w14:paraId="14312C4A" w14:textId="77777777" w:rsidR="00624747" w:rsidRDefault="00624747" w:rsidP="00C57DCD">
            <w:pPr>
              <w:tabs>
                <w:tab w:val="left" w:pos="1800"/>
              </w:tabs>
              <w:spacing w:before="80" w:after="80"/>
            </w:pPr>
          </w:p>
        </w:tc>
      </w:tr>
      <w:tr w:rsidR="00624747" w14:paraId="4F91AA83" w14:textId="77777777" w:rsidTr="00C57DCD">
        <w:trPr>
          <w:trHeight w:hRule="exact" w:val="451"/>
        </w:trPr>
        <w:tc>
          <w:tcPr>
            <w:tcW w:w="1350" w:type="dxa"/>
          </w:tcPr>
          <w:p w14:paraId="796D6B16" w14:textId="77777777" w:rsidR="00624747" w:rsidRDefault="00624747" w:rsidP="00E43D4F">
            <w:pPr>
              <w:tabs>
                <w:tab w:val="left" w:pos="1800"/>
              </w:tabs>
              <w:spacing w:before="80" w:after="80"/>
              <w:jc w:val="right"/>
              <w:rPr>
                <w:b/>
              </w:rPr>
            </w:pPr>
            <w:r>
              <w:rPr>
                <w:b/>
              </w:rPr>
              <w:t>Reviewed:</w:t>
            </w:r>
            <w:r>
              <w:rPr>
                <w:b/>
              </w:rPr>
              <w:br/>
            </w:r>
          </w:p>
        </w:tc>
        <w:tc>
          <w:tcPr>
            <w:tcW w:w="3438" w:type="dxa"/>
            <w:vAlign w:val="center"/>
          </w:tcPr>
          <w:p w14:paraId="75B22DBD" w14:textId="77777777" w:rsidR="00624747" w:rsidRDefault="00815FEC" w:rsidP="00C57DCD">
            <w:pPr>
              <w:tabs>
                <w:tab w:val="left" w:pos="1800"/>
              </w:tabs>
              <w:spacing w:before="80" w:after="80"/>
            </w:pPr>
            <w:r w:rsidRPr="00815FEC">
              <w:t>November 2016</w:t>
            </w:r>
          </w:p>
        </w:tc>
      </w:tr>
      <w:tr w:rsidR="00624747" w14:paraId="685A0528" w14:textId="77777777" w:rsidTr="00C57DCD">
        <w:trPr>
          <w:trHeight w:hRule="exact" w:val="361"/>
        </w:trPr>
        <w:tc>
          <w:tcPr>
            <w:tcW w:w="1350" w:type="dxa"/>
          </w:tcPr>
          <w:p w14:paraId="2247515D" w14:textId="77777777" w:rsidR="00624747" w:rsidRDefault="00624747" w:rsidP="00E43D4F">
            <w:pPr>
              <w:tabs>
                <w:tab w:val="left" w:pos="1800"/>
              </w:tabs>
              <w:spacing w:before="80" w:after="80"/>
              <w:jc w:val="right"/>
              <w:rPr>
                <w:b/>
              </w:rPr>
            </w:pPr>
            <w:r>
              <w:rPr>
                <w:b/>
              </w:rPr>
              <w:t>Revised:</w:t>
            </w:r>
          </w:p>
        </w:tc>
        <w:tc>
          <w:tcPr>
            <w:tcW w:w="3438" w:type="dxa"/>
            <w:vAlign w:val="center"/>
          </w:tcPr>
          <w:p w14:paraId="2509143C" w14:textId="77777777" w:rsidR="00624747" w:rsidRDefault="00DD6D10" w:rsidP="00C57DCD">
            <w:pPr>
              <w:tabs>
                <w:tab w:val="left" w:pos="1800"/>
              </w:tabs>
              <w:spacing w:before="80" w:after="80"/>
            </w:pPr>
            <w:r>
              <w:t>November</w:t>
            </w:r>
            <w:r w:rsidR="00815FEC">
              <w:t xml:space="preserve"> 2016</w:t>
            </w:r>
          </w:p>
        </w:tc>
      </w:tr>
      <w:tr w:rsidR="00624747" w14:paraId="537220F4" w14:textId="77777777" w:rsidTr="00C57DCD">
        <w:trPr>
          <w:trHeight w:hRule="exact" w:val="531"/>
        </w:trPr>
        <w:tc>
          <w:tcPr>
            <w:tcW w:w="1350" w:type="dxa"/>
          </w:tcPr>
          <w:p w14:paraId="6084B4AF" w14:textId="77777777" w:rsidR="00624747" w:rsidRDefault="00624747" w:rsidP="00E43D4F">
            <w:pPr>
              <w:tabs>
                <w:tab w:val="left" w:pos="1800"/>
              </w:tabs>
              <w:spacing w:before="80" w:after="80"/>
              <w:jc w:val="right"/>
              <w:rPr>
                <w:b/>
              </w:rPr>
            </w:pPr>
            <w:r>
              <w:rPr>
                <w:b/>
              </w:rPr>
              <w:t>Section:</w:t>
            </w:r>
          </w:p>
        </w:tc>
        <w:tc>
          <w:tcPr>
            <w:tcW w:w="3438" w:type="dxa"/>
            <w:vAlign w:val="center"/>
          </w:tcPr>
          <w:p w14:paraId="5E147FA7" w14:textId="77777777" w:rsidR="00624747" w:rsidRDefault="00624747" w:rsidP="00C57DCD">
            <w:pPr>
              <w:tabs>
                <w:tab w:val="left" w:pos="1800"/>
              </w:tabs>
              <w:spacing w:before="80" w:after="80"/>
            </w:pPr>
            <w:r>
              <w:t xml:space="preserve"> </w:t>
            </w:r>
          </w:p>
        </w:tc>
      </w:tr>
    </w:tbl>
    <w:p w14:paraId="5C671112" w14:textId="77777777" w:rsidR="00D33507" w:rsidRDefault="004249A3">
      <w:r>
        <w:rPr>
          <w:noProof/>
        </w:rPr>
        <w:drawing>
          <wp:inline distT="0" distB="0" distL="0" distR="0" wp14:anchorId="1568CF62" wp14:editId="70E8A057">
            <wp:extent cx="1905000" cy="952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14:paraId="7906D6F9" w14:textId="77777777" w:rsidR="00D33507" w:rsidRDefault="00D33507"/>
    <w:p w14:paraId="1671FCD4" w14:textId="77777777" w:rsidR="007566CB" w:rsidRDefault="007566CB"/>
    <w:p w14:paraId="2DFD19EC" w14:textId="77777777" w:rsidR="00D33507" w:rsidRDefault="00D33507"/>
    <w:p w14:paraId="61D84275" w14:textId="77777777" w:rsidR="004C721B" w:rsidRDefault="004C721B" w:rsidP="004C721B">
      <w:pPr>
        <w:jc w:val="center"/>
        <w:rPr>
          <w:b/>
          <w:sz w:val="28"/>
        </w:rPr>
      </w:pPr>
    </w:p>
    <w:p w14:paraId="407A6689" w14:textId="77777777" w:rsidR="007D2202" w:rsidRDefault="004249A3" w:rsidP="0005664C">
      <w:pPr>
        <w:jc w:val="center"/>
      </w:pPr>
      <w:r w:rsidRPr="004249A3">
        <w:rPr>
          <w:b/>
          <w:sz w:val="28"/>
        </w:rPr>
        <w:t>Acute Intra-arterial Stroke Treatment</w:t>
      </w:r>
    </w:p>
    <w:p w14:paraId="32BC5C0E" w14:textId="77777777" w:rsidR="0005664C" w:rsidRPr="0005664C" w:rsidRDefault="0005664C" w:rsidP="0005664C">
      <w:pPr>
        <w:jc w:val="center"/>
      </w:pPr>
    </w:p>
    <w:p w14:paraId="7F244718" w14:textId="77777777" w:rsidR="007D2202" w:rsidRPr="000B3462" w:rsidRDefault="007D2202" w:rsidP="007D2202">
      <w:pPr>
        <w:autoSpaceDE w:val="0"/>
        <w:autoSpaceDN w:val="0"/>
        <w:adjustRightInd w:val="0"/>
        <w:rPr>
          <w:rFonts w:cs="Arial"/>
          <w:b/>
          <w:bCs/>
          <w:u w:val="single"/>
        </w:rPr>
      </w:pPr>
      <w:r w:rsidRPr="00A349BE">
        <w:rPr>
          <w:rFonts w:cs="Arial"/>
          <w:b/>
          <w:bCs/>
          <w:u w:val="single"/>
        </w:rPr>
        <w:t>Purpose:</w:t>
      </w:r>
      <w:r w:rsidR="000C76DA">
        <w:rPr>
          <w:rFonts w:cs="Arial"/>
          <w:b/>
          <w:bCs/>
          <w:u w:val="single"/>
        </w:rPr>
        <w:t xml:space="preserve">  </w:t>
      </w:r>
      <w:r w:rsidR="000C76DA" w:rsidRPr="000B3462">
        <w:rPr>
          <w:rFonts w:cs="Arial"/>
          <w:bCs/>
          <w:u w:val="single"/>
        </w:rPr>
        <w:t>To provide guidance in the care of an Acute I</w:t>
      </w:r>
      <w:r w:rsidR="00DD6D10" w:rsidRPr="000B3462">
        <w:rPr>
          <w:rFonts w:cs="Arial"/>
          <w:bCs/>
          <w:u w:val="single"/>
        </w:rPr>
        <w:t>ntra-Arterial</w:t>
      </w:r>
      <w:r w:rsidR="000C76DA" w:rsidRPr="000B3462">
        <w:rPr>
          <w:rFonts w:cs="Arial"/>
          <w:bCs/>
          <w:u w:val="single"/>
        </w:rPr>
        <w:t xml:space="preserve"> Stroke patient</w:t>
      </w:r>
    </w:p>
    <w:p w14:paraId="2DC864E6" w14:textId="77777777" w:rsidR="00457854" w:rsidRPr="000B3462" w:rsidRDefault="00457854" w:rsidP="007D2202">
      <w:pPr>
        <w:autoSpaceDE w:val="0"/>
        <w:autoSpaceDN w:val="0"/>
        <w:adjustRightInd w:val="0"/>
        <w:rPr>
          <w:rFonts w:cs="Arial"/>
        </w:rPr>
      </w:pPr>
    </w:p>
    <w:p w14:paraId="7BD384B9" w14:textId="77777777" w:rsidR="00457854" w:rsidRPr="000B3462" w:rsidRDefault="00457854" w:rsidP="007D2202">
      <w:pPr>
        <w:autoSpaceDE w:val="0"/>
        <w:autoSpaceDN w:val="0"/>
        <w:adjustRightInd w:val="0"/>
        <w:rPr>
          <w:rFonts w:cs="Arial"/>
        </w:rPr>
      </w:pPr>
    </w:p>
    <w:p w14:paraId="7C979DBF" w14:textId="77777777" w:rsidR="007D2202" w:rsidRPr="000B3462" w:rsidRDefault="0005664C" w:rsidP="007D2202">
      <w:pPr>
        <w:autoSpaceDE w:val="0"/>
        <w:autoSpaceDN w:val="0"/>
        <w:adjustRightInd w:val="0"/>
        <w:rPr>
          <w:rFonts w:cs="Arial"/>
          <w:u w:val="single"/>
        </w:rPr>
      </w:pPr>
      <w:r w:rsidRPr="000B3462">
        <w:rPr>
          <w:rFonts w:cs="Arial"/>
          <w:b/>
          <w:u w:val="single"/>
        </w:rPr>
        <w:t>Application:</w:t>
      </w:r>
      <w:r w:rsidR="000C76DA" w:rsidRPr="000B3462">
        <w:rPr>
          <w:rFonts w:cs="Arial"/>
          <w:b/>
          <w:u w:val="single"/>
        </w:rPr>
        <w:t xml:space="preserve">  </w:t>
      </w:r>
      <w:r w:rsidR="000C76DA" w:rsidRPr="000B3462">
        <w:rPr>
          <w:rFonts w:cs="Arial"/>
          <w:u w:val="single"/>
        </w:rPr>
        <w:t xml:space="preserve">For all potential acute </w:t>
      </w:r>
      <w:r w:rsidR="00DD6D10" w:rsidRPr="000B3462">
        <w:rPr>
          <w:rFonts w:cs="Arial"/>
          <w:u w:val="single"/>
        </w:rPr>
        <w:t>intra-arterial</w:t>
      </w:r>
      <w:r w:rsidR="000C76DA" w:rsidRPr="000B3462">
        <w:rPr>
          <w:rFonts w:cs="Arial"/>
          <w:u w:val="single"/>
        </w:rPr>
        <w:t xml:space="preserve"> stroke patients </w:t>
      </w:r>
    </w:p>
    <w:p w14:paraId="5F8BA1FE" w14:textId="77777777" w:rsidR="007D2202" w:rsidRPr="000B3462" w:rsidRDefault="007D2202" w:rsidP="007D2202">
      <w:pPr>
        <w:autoSpaceDE w:val="0"/>
        <w:autoSpaceDN w:val="0"/>
        <w:adjustRightInd w:val="0"/>
        <w:rPr>
          <w:rFonts w:cs="Arial"/>
          <w:u w:val="single"/>
        </w:rPr>
      </w:pPr>
    </w:p>
    <w:p w14:paraId="0AD285FD" w14:textId="77777777" w:rsidR="00457854" w:rsidRPr="000B3462" w:rsidRDefault="00457854" w:rsidP="007D2202">
      <w:pPr>
        <w:autoSpaceDE w:val="0"/>
        <w:autoSpaceDN w:val="0"/>
        <w:adjustRightInd w:val="0"/>
        <w:rPr>
          <w:rFonts w:cs="Arial"/>
          <w:b/>
          <w:u w:val="single"/>
        </w:rPr>
      </w:pPr>
    </w:p>
    <w:p w14:paraId="241D5699" w14:textId="77777777" w:rsidR="007D2202" w:rsidRPr="000C76DA" w:rsidRDefault="007D2202" w:rsidP="007D2202">
      <w:pPr>
        <w:autoSpaceDE w:val="0"/>
        <w:autoSpaceDN w:val="0"/>
        <w:adjustRightInd w:val="0"/>
        <w:rPr>
          <w:rFonts w:cs="Arial"/>
          <w:u w:val="single"/>
        </w:rPr>
      </w:pPr>
    </w:p>
    <w:p w14:paraId="148FFAB6" w14:textId="77777777" w:rsidR="0005664C" w:rsidRPr="00A349BE" w:rsidRDefault="0005664C" w:rsidP="007D2202">
      <w:pPr>
        <w:autoSpaceDE w:val="0"/>
        <w:autoSpaceDN w:val="0"/>
        <w:adjustRightInd w:val="0"/>
        <w:rPr>
          <w:rFonts w:cs="Arial"/>
        </w:rPr>
      </w:pPr>
    </w:p>
    <w:p w14:paraId="7291C466" w14:textId="77777777" w:rsidR="0015776B" w:rsidRPr="0015776B" w:rsidRDefault="0015776B" w:rsidP="0015776B">
      <w:pPr>
        <w:autoSpaceDE w:val="0"/>
        <w:autoSpaceDN w:val="0"/>
        <w:adjustRightInd w:val="0"/>
        <w:jc w:val="center"/>
        <w:rPr>
          <w:rFonts w:ascii="Arial" w:hAnsi="Arial" w:cs="Arial"/>
          <w:sz w:val="26"/>
          <w:szCs w:val="26"/>
        </w:rPr>
      </w:pPr>
      <w:r w:rsidRPr="0015776B">
        <w:rPr>
          <w:rFonts w:ascii="Arial" w:hAnsi="Arial" w:cs="Arial"/>
          <w:b/>
          <w:bCs/>
          <w:sz w:val="26"/>
          <w:szCs w:val="26"/>
          <w:u w:val="single"/>
        </w:rPr>
        <w:t>Guideline: Acute I</w:t>
      </w:r>
      <w:r w:rsidR="00DD6D10">
        <w:rPr>
          <w:rFonts w:ascii="Arial" w:hAnsi="Arial" w:cs="Arial"/>
          <w:b/>
          <w:bCs/>
          <w:sz w:val="26"/>
          <w:szCs w:val="26"/>
          <w:u w:val="single"/>
        </w:rPr>
        <w:t>ntra-arterial</w:t>
      </w:r>
      <w:r w:rsidRPr="0015776B">
        <w:rPr>
          <w:rFonts w:ascii="Arial" w:hAnsi="Arial" w:cs="Arial"/>
          <w:b/>
          <w:bCs/>
          <w:sz w:val="26"/>
          <w:szCs w:val="26"/>
          <w:u w:val="single"/>
        </w:rPr>
        <w:t xml:space="preserve"> Stroke</w:t>
      </w:r>
      <w:r w:rsidR="0008659C">
        <w:rPr>
          <w:rFonts w:ascii="Arial" w:hAnsi="Arial" w:cs="Arial"/>
          <w:b/>
          <w:bCs/>
          <w:sz w:val="26"/>
          <w:szCs w:val="26"/>
          <w:u w:val="single"/>
        </w:rPr>
        <w:t xml:space="preserve"> Guideline</w:t>
      </w:r>
      <w:r w:rsidRPr="0015776B">
        <w:rPr>
          <w:rFonts w:ascii="Arial" w:hAnsi="Arial" w:cs="Arial"/>
          <w:b/>
          <w:bCs/>
          <w:sz w:val="26"/>
          <w:szCs w:val="26"/>
          <w:u w:val="single"/>
        </w:rPr>
        <w:t xml:space="preserve">  </w:t>
      </w:r>
    </w:p>
    <w:p w14:paraId="5D28644E" w14:textId="77777777" w:rsidR="0015776B" w:rsidRPr="0015776B" w:rsidRDefault="0015776B" w:rsidP="0015776B">
      <w:pPr>
        <w:autoSpaceDE w:val="0"/>
        <w:autoSpaceDN w:val="0"/>
        <w:adjustRightInd w:val="0"/>
        <w:rPr>
          <w:rFonts w:ascii="Arial" w:hAnsi="Arial" w:cs="Arial"/>
          <w:b/>
          <w:bCs/>
          <w:sz w:val="22"/>
          <w:szCs w:val="22"/>
        </w:rPr>
      </w:pPr>
    </w:p>
    <w:p w14:paraId="719CE9DC" w14:textId="77777777" w:rsidR="0015776B" w:rsidRPr="0015776B" w:rsidRDefault="0015776B" w:rsidP="0015776B">
      <w:pPr>
        <w:keepNext/>
        <w:pBdr>
          <w:top w:val="single" w:sz="4" w:space="1" w:color="auto"/>
          <w:left w:val="single" w:sz="4" w:space="4" w:color="auto"/>
          <w:bottom w:val="single" w:sz="4" w:space="1" w:color="auto"/>
          <w:right w:val="single" w:sz="4" w:space="4" w:color="auto"/>
        </w:pBdr>
        <w:spacing w:before="240" w:after="60"/>
        <w:jc w:val="center"/>
        <w:outlineLvl w:val="1"/>
        <w:rPr>
          <w:rFonts w:ascii="Arial" w:hAnsi="Arial" w:cs="Arial"/>
          <w:b/>
          <w:bCs/>
          <w:iCs/>
          <w:sz w:val="20"/>
          <w:szCs w:val="20"/>
        </w:rPr>
      </w:pPr>
      <w:r w:rsidRPr="0015776B">
        <w:rPr>
          <w:rFonts w:ascii="Arial" w:hAnsi="Arial" w:cs="Arial"/>
          <w:b/>
          <w:bCs/>
          <w:iCs/>
          <w:sz w:val="20"/>
          <w:szCs w:val="20"/>
        </w:rPr>
        <w:t>Disclaimer</w:t>
      </w:r>
    </w:p>
    <w:p w14:paraId="2BC4A1D9" w14:textId="77777777" w:rsidR="0015776B" w:rsidRPr="0015776B" w:rsidRDefault="0015776B" w:rsidP="0015776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0"/>
          <w:szCs w:val="20"/>
        </w:rPr>
      </w:pPr>
      <w:r w:rsidRPr="000B3462">
        <w:rPr>
          <w:rFonts w:ascii="Arial" w:hAnsi="Arial" w:cs="Arial"/>
          <w:sz w:val="20"/>
          <w:szCs w:val="20"/>
        </w:rPr>
        <w:t>This protocol was developed by the Stroke Service and members of the Stroke Taskforce at Boston Medical Center and outlines the major responsibilities for the urgent evaluation and treatment of acute stroke patients who present to the ED.</w:t>
      </w:r>
      <w:r w:rsidRPr="0015776B">
        <w:rPr>
          <w:rFonts w:ascii="Arial" w:hAnsi="Arial" w:cs="Arial"/>
          <w:sz w:val="20"/>
          <w:szCs w:val="20"/>
        </w:rPr>
        <w:t xml:space="preserve"> </w:t>
      </w:r>
    </w:p>
    <w:p w14:paraId="3181BE4D" w14:textId="77777777" w:rsidR="0015776B" w:rsidRPr="0015776B" w:rsidRDefault="0015776B" w:rsidP="0015776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0"/>
          <w:szCs w:val="20"/>
        </w:rPr>
      </w:pPr>
      <w:r w:rsidRPr="0015776B">
        <w:rPr>
          <w:rFonts w:ascii="Arial" w:hAnsi="Arial" w:cs="Arial"/>
          <w:sz w:val="20"/>
          <w:szCs w:val="20"/>
        </w:rPr>
        <w:t xml:space="preserve">This information is intended to be used only as a medical and educational reference tool. It does not replace or overrule the treating physician's judgment or diagnosis. We tried to keep the information as accurate as possible and therefore disclaim any implied warranty or representation about its accuracy or appropriateness for a particular purpose. This stroke protocol is subject to change without notice. </w:t>
      </w:r>
    </w:p>
    <w:p w14:paraId="596E59DA" w14:textId="77777777" w:rsidR="0015776B" w:rsidRPr="0015776B" w:rsidRDefault="0015776B" w:rsidP="0015776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0000FF"/>
          <w:sz w:val="20"/>
          <w:szCs w:val="20"/>
        </w:rPr>
      </w:pPr>
    </w:p>
    <w:p w14:paraId="7979DDC7" w14:textId="77777777" w:rsidR="0015776B" w:rsidRDefault="0015776B" w:rsidP="0015776B">
      <w:pPr>
        <w:autoSpaceDE w:val="0"/>
        <w:autoSpaceDN w:val="0"/>
        <w:adjustRightInd w:val="0"/>
        <w:rPr>
          <w:rFonts w:ascii="Arial" w:hAnsi="Arial" w:cs="Arial"/>
          <w:bCs/>
          <w:i/>
          <w:color w:val="0000FF"/>
          <w:sz w:val="22"/>
          <w:szCs w:val="22"/>
        </w:rPr>
      </w:pPr>
    </w:p>
    <w:p w14:paraId="533E1679" w14:textId="77777777" w:rsidR="007B10FB" w:rsidRDefault="007B10FB" w:rsidP="0015776B">
      <w:pPr>
        <w:autoSpaceDE w:val="0"/>
        <w:autoSpaceDN w:val="0"/>
        <w:adjustRightInd w:val="0"/>
        <w:rPr>
          <w:rFonts w:ascii="Arial" w:hAnsi="Arial" w:cs="Arial"/>
          <w:bCs/>
          <w:i/>
          <w:color w:val="0000FF"/>
          <w:sz w:val="22"/>
          <w:szCs w:val="22"/>
        </w:rPr>
      </w:pPr>
    </w:p>
    <w:p w14:paraId="0FF1117A" w14:textId="77777777" w:rsidR="007B10FB" w:rsidRDefault="007B10FB" w:rsidP="0015776B">
      <w:pPr>
        <w:autoSpaceDE w:val="0"/>
        <w:autoSpaceDN w:val="0"/>
        <w:adjustRightInd w:val="0"/>
        <w:rPr>
          <w:rFonts w:ascii="Arial" w:hAnsi="Arial" w:cs="Arial"/>
          <w:bCs/>
          <w:i/>
          <w:color w:val="0000FF"/>
          <w:sz w:val="22"/>
          <w:szCs w:val="22"/>
        </w:rPr>
      </w:pPr>
    </w:p>
    <w:p w14:paraId="2E382FEA" w14:textId="77777777" w:rsidR="007B10FB" w:rsidRDefault="007B10FB" w:rsidP="0015776B">
      <w:pPr>
        <w:autoSpaceDE w:val="0"/>
        <w:autoSpaceDN w:val="0"/>
        <w:adjustRightInd w:val="0"/>
        <w:rPr>
          <w:rFonts w:ascii="Arial" w:hAnsi="Arial" w:cs="Arial"/>
          <w:bCs/>
          <w:i/>
          <w:color w:val="0000FF"/>
          <w:sz w:val="22"/>
          <w:szCs w:val="22"/>
        </w:rPr>
      </w:pPr>
    </w:p>
    <w:p w14:paraId="3C92FF7F" w14:textId="77777777" w:rsidR="007B10FB" w:rsidRDefault="007B10FB" w:rsidP="0015776B">
      <w:pPr>
        <w:autoSpaceDE w:val="0"/>
        <w:autoSpaceDN w:val="0"/>
        <w:adjustRightInd w:val="0"/>
        <w:rPr>
          <w:rFonts w:ascii="Arial" w:hAnsi="Arial" w:cs="Arial"/>
          <w:bCs/>
          <w:i/>
          <w:color w:val="0000FF"/>
          <w:sz w:val="22"/>
          <w:szCs w:val="22"/>
        </w:rPr>
      </w:pPr>
    </w:p>
    <w:p w14:paraId="6E607CA8" w14:textId="77777777" w:rsidR="007B10FB" w:rsidRDefault="007B10FB" w:rsidP="0015776B">
      <w:pPr>
        <w:autoSpaceDE w:val="0"/>
        <w:autoSpaceDN w:val="0"/>
        <w:adjustRightInd w:val="0"/>
        <w:rPr>
          <w:rFonts w:ascii="Arial" w:hAnsi="Arial" w:cs="Arial"/>
          <w:bCs/>
          <w:i/>
          <w:color w:val="0000FF"/>
          <w:sz w:val="22"/>
          <w:szCs w:val="22"/>
        </w:rPr>
      </w:pPr>
    </w:p>
    <w:p w14:paraId="069B2ADA" w14:textId="77777777" w:rsidR="007B10FB" w:rsidRDefault="007B10FB" w:rsidP="0015776B">
      <w:pPr>
        <w:autoSpaceDE w:val="0"/>
        <w:autoSpaceDN w:val="0"/>
        <w:adjustRightInd w:val="0"/>
        <w:rPr>
          <w:rFonts w:ascii="Arial" w:hAnsi="Arial" w:cs="Arial"/>
          <w:bCs/>
          <w:i/>
          <w:color w:val="0000FF"/>
          <w:sz w:val="22"/>
          <w:szCs w:val="22"/>
        </w:rPr>
      </w:pPr>
    </w:p>
    <w:p w14:paraId="09C79D61" w14:textId="77777777" w:rsidR="007B10FB" w:rsidRDefault="007B10FB" w:rsidP="0015776B">
      <w:pPr>
        <w:autoSpaceDE w:val="0"/>
        <w:autoSpaceDN w:val="0"/>
        <w:adjustRightInd w:val="0"/>
        <w:rPr>
          <w:rFonts w:ascii="Arial" w:hAnsi="Arial" w:cs="Arial"/>
          <w:bCs/>
          <w:i/>
          <w:color w:val="0000FF"/>
          <w:sz w:val="22"/>
          <w:szCs w:val="22"/>
        </w:rPr>
      </w:pPr>
    </w:p>
    <w:p w14:paraId="49ED3DD9" w14:textId="77777777" w:rsidR="007B10FB" w:rsidRDefault="007B10FB" w:rsidP="0015776B">
      <w:pPr>
        <w:autoSpaceDE w:val="0"/>
        <w:autoSpaceDN w:val="0"/>
        <w:adjustRightInd w:val="0"/>
        <w:rPr>
          <w:rFonts w:ascii="Arial" w:hAnsi="Arial" w:cs="Arial"/>
          <w:bCs/>
          <w:i/>
          <w:color w:val="0000FF"/>
          <w:sz w:val="22"/>
          <w:szCs w:val="22"/>
        </w:rPr>
      </w:pPr>
    </w:p>
    <w:p w14:paraId="2D6A7CBC" w14:textId="77777777" w:rsidR="007B10FB" w:rsidRDefault="007B10FB" w:rsidP="0015776B">
      <w:pPr>
        <w:autoSpaceDE w:val="0"/>
        <w:autoSpaceDN w:val="0"/>
        <w:adjustRightInd w:val="0"/>
        <w:rPr>
          <w:rFonts w:ascii="Arial" w:hAnsi="Arial" w:cs="Arial"/>
          <w:bCs/>
          <w:i/>
          <w:color w:val="0000FF"/>
          <w:sz w:val="22"/>
          <w:szCs w:val="22"/>
        </w:rPr>
      </w:pPr>
    </w:p>
    <w:p w14:paraId="693FF609" w14:textId="77777777" w:rsidR="007B10FB" w:rsidRDefault="007B10FB" w:rsidP="0015776B">
      <w:pPr>
        <w:autoSpaceDE w:val="0"/>
        <w:autoSpaceDN w:val="0"/>
        <w:adjustRightInd w:val="0"/>
        <w:rPr>
          <w:rFonts w:ascii="Arial" w:hAnsi="Arial" w:cs="Arial"/>
          <w:bCs/>
          <w:i/>
          <w:color w:val="0000FF"/>
          <w:sz w:val="22"/>
          <w:szCs w:val="22"/>
        </w:rPr>
      </w:pPr>
    </w:p>
    <w:p w14:paraId="55CEAAE2" w14:textId="77777777" w:rsidR="007B10FB" w:rsidRPr="0015776B" w:rsidRDefault="007B10FB" w:rsidP="0015776B">
      <w:pPr>
        <w:autoSpaceDE w:val="0"/>
        <w:autoSpaceDN w:val="0"/>
        <w:adjustRightInd w:val="0"/>
        <w:rPr>
          <w:rFonts w:ascii="Arial" w:hAnsi="Arial" w:cs="Arial"/>
          <w:bCs/>
          <w:i/>
          <w:color w:val="0000FF"/>
          <w:sz w:val="22"/>
          <w:szCs w:val="22"/>
        </w:rPr>
      </w:pPr>
    </w:p>
    <w:p w14:paraId="747E845A" w14:textId="77777777" w:rsidR="0015776B" w:rsidRPr="0015776B" w:rsidRDefault="00DD6D10" w:rsidP="0015776B">
      <w:pPr>
        <w:autoSpaceDE w:val="0"/>
        <w:autoSpaceDN w:val="0"/>
        <w:adjustRightInd w:val="0"/>
        <w:jc w:val="center"/>
        <w:rPr>
          <w:rFonts w:ascii="Arial" w:hAnsi="Arial" w:cs="Arial"/>
          <w:sz w:val="22"/>
          <w:szCs w:val="22"/>
        </w:rPr>
      </w:pPr>
      <w:r w:rsidRPr="00DD6D10">
        <w:rPr>
          <w:rFonts w:ascii="Arial" w:hAnsi="Arial" w:cs="Arial"/>
          <w:b/>
          <w:bCs/>
          <w:sz w:val="22"/>
          <w:szCs w:val="22"/>
        </w:rPr>
        <w:t xml:space="preserve">Guidelines for Acute Intra-arterial Stroke Treatment </w:t>
      </w:r>
    </w:p>
    <w:p w14:paraId="34A8723F" w14:textId="77777777" w:rsidR="0015776B" w:rsidRPr="0015776B" w:rsidRDefault="0015776B" w:rsidP="0015776B">
      <w:pPr>
        <w:numPr>
          <w:ilvl w:val="0"/>
          <w:numId w:val="10"/>
        </w:numPr>
        <w:autoSpaceDE w:val="0"/>
        <w:autoSpaceDN w:val="0"/>
        <w:adjustRightInd w:val="0"/>
        <w:rPr>
          <w:rFonts w:ascii="Arial" w:hAnsi="Arial" w:cs="Arial"/>
          <w:sz w:val="20"/>
          <w:szCs w:val="20"/>
        </w:rPr>
      </w:pPr>
    </w:p>
    <w:p w14:paraId="3D33B6F9" w14:textId="77777777" w:rsidR="0015776B" w:rsidRPr="0015776B" w:rsidRDefault="0015776B" w:rsidP="0015776B">
      <w:pPr>
        <w:numPr>
          <w:ilvl w:val="0"/>
          <w:numId w:val="10"/>
        </w:numPr>
        <w:autoSpaceDE w:val="0"/>
        <w:autoSpaceDN w:val="0"/>
        <w:adjustRightInd w:val="0"/>
        <w:rPr>
          <w:rFonts w:ascii="Arial" w:hAnsi="Arial" w:cs="Arial"/>
          <w:sz w:val="20"/>
          <w:szCs w:val="20"/>
        </w:rPr>
      </w:pPr>
      <w:r w:rsidRPr="0015776B">
        <w:rPr>
          <w:rFonts w:ascii="Arial" w:hAnsi="Arial" w:cs="Arial"/>
          <w:b/>
          <w:bCs/>
          <w:sz w:val="20"/>
          <w:szCs w:val="20"/>
        </w:rPr>
        <w:t xml:space="preserve">A. Indications </w:t>
      </w:r>
    </w:p>
    <w:p w14:paraId="03FF515E" w14:textId="77777777" w:rsidR="00DD6D10" w:rsidRPr="00DD6D10" w:rsidRDefault="00DD6D10" w:rsidP="00DD6D10">
      <w:pPr>
        <w:pStyle w:val="ListParagraph"/>
        <w:numPr>
          <w:ilvl w:val="0"/>
          <w:numId w:val="35"/>
        </w:numPr>
        <w:tabs>
          <w:tab w:val="left" w:pos="360"/>
        </w:tabs>
        <w:autoSpaceDE w:val="0"/>
        <w:autoSpaceDN w:val="0"/>
        <w:adjustRightInd w:val="0"/>
        <w:rPr>
          <w:rFonts w:ascii="Arial" w:hAnsi="Arial" w:cs="Arial"/>
          <w:sz w:val="20"/>
          <w:szCs w:val="20"/>
        </w:rPr>
      </w:pPr>
      <w:r w:rsidRPr="00DD6D10">
        <w:rPr>
          <w:rFonts w:ascii="Arial" w:hAnsi="Arial" w:cs="Arial"/>
          <w:sz w:val="20"/>
          <w:szCs w:val="20"/>
        </w:rPr>
        <w:t>Age ≥ 18 AND</w:t>
      </w:r>
    </w:p>
    <w:p w14:paraId="74E12DA1" w14:textId="77777777" w:rsidR="00DD6D10" w:rsidRPr="00DD6D10" w:rsidRDefault="00DD6D10" w:rsidP="00DD6D10">
      <w:pPr>
        <w:pStyle w:val="ListParagraph"/>
        <w:numPr>
          <w:ilvl w:val="0"/>
          <w:numId w:val="35"/>
        </w:numPr>
        <w:tabs>
          <w:tab w:val="left" w:pos="360"/>
        </w:tabs>
        <w:autoSpaceDE w:val="0"/>
        <w:autoSpaceDN w:val="0"/>
        <w:adjustRightInd w:val="0"/>
        <w:rPr>
          <w:rFonts w:ascii="Arial" w:hAnsi="Arial" w:cs="Arial"/>
          <w:sz w:val="20"/>
          <w:szCs w:val="20"/>
        </w:rPr>
      </w:pPr>
      <w:r w:rsidRPr="00DD6D10">
        <w:rPr>
          <w:rFonts w:ascii="Arial" w:hAnsi="Arial" w:cs="Arial"/>
          <w:sz w:val="20"/>
          <w:szCs w:val="20"/>
        </w:rPr>
        <w:t>NIHSS ≥ 8 AND</w:t>
      </w:r>
    </w:p>
    <w:p w14:paraId="7DA07950" w14:textId="77777777" w:rsidR="00DD6D10" w:rsidRPr="00DD6D10" w:rsidRDefault="00DD6D10" w:rsidP="00DD6D10">
      <w:pPr>
        <w:pStyle w:val="ListParagraph"/>
        <w:numPr>
          <w:ilvl w:val="0"/>
          <w:numId w:val="35"/>
        </w:numPr>
        <w:tabs>
          <w:tab w:val="left" w:pos="360"/>
        </w:tabs>
        <w:autoSpaceDE w:val="0"/>
        <w:autoSpaceDN w:val="0"/>
        <w:adjustRightInd w:val="0"/>
        <w:rPr>
          <w:rFonts w:ascii="Arial" w:hAnsi="Arial" w:cs="Arial"/>
          <w:sz w:val="20"/>
          <w:szCs w:val="20"/>
        </w:rPr>
      </w:pPr>
      <w:r w:rsidRPr="00DD6D10">
        <w:rPr>
          <w:rFonts w:ascii="Arial" w:hAnsi="Arial" w:cs="Arial"/>
          <w:sz w:val="20"/>
          <w:szCs w:val="20"/>
        </w:rPr>
        <w:t>CT ASPECTS &gt; 6 or DWI lesion &lt; 70cm3 AND</w:t>
      </w:r>
    </w:p>
    <w:p w14:paraId="105AEDC6" w14:textId="77777777" w:rsidR="00DD6D10" w:rsidRPr="00DD6D10" w:rsidRDefault="00DD6D10" w:rsidP="00DD6D10">
      <w:pPr>
        <w:pStyle w:val="ListParagraph"/>
        <w:numPr>
          <w:ilvl w:val="0"/>
          <w:numId w:val="35"/>
        </w:numPr>
        <w:tabs>
          <w:tab w:val="left" w:pos="360"/>
        </w:tabs>
        <w:autoSpaceDE w:val="0"/>
        <w:autoSpaceDN w:val="0"/>
        <w:adjustRightInd w:val="0"/>
        <w:rPr>
          <w:rFonts w:ascii="Arial" w:hAnsi="Arial" w:cs="Arial"/>
          <w:sz w:val="20"/>
          <w:szCs w:val="20"/>
        </w:rPr>
      </w:pPr>
      <w:r w:rsidRPr="00DD6D10">
        <w:rPr>
          <w:rFonts w:ascii="Arial" w:hAnsi="Arial" w:cs="Arial"/>
          <w:sz w:val="20"/>
          <w:szCs w:val="20"/>
        </w:rPr>
        <w:t>Anterior circulation stroke; Carotid T occlusion or M1/M2 MCA occlusion; in patients not receiving IV tPA) within 8 hours of stroke symptom onset (groin puncture by 6 - 7 hours from onset) or</w:t>
      </w:r>
    </w:p>
    <w:p w14:paraId="0B607437" w14:textId="77777777" w:rsidR="00DD6D10" w:rsidRPr="00DD6D10" w:rsidRDefault="00DD6D10" w:rsidP="00DD6D10">
      <w:pPr>
        <w:numPr>
          <w:ilvl w:val="0"/>
          <w:numId w:val="35"/>
        </w:numPr>
        <w:tabs>
          <w:tab w:val="left" w:pos="360"/>
        </w:tabs>
        <w:autoSpaceDE w:val="0"/>
        <w:autoSpaceDN w:val="0"/>
        <w:adjustRightInd w:val="0"/>
        <w:rPr>
          <w:rFonts w:ascii="Arial" w:hAnsi="Arial" w:cs="Arial"/>
          <w:sz w:val="20"/>
          <w:szCs w:val="20"/>
        </w:rPr>
      </w:pPr>
      <w:r w:rsidRPr="00DD6D10">
        <w:rPr>
          <w:rFonts w:ascii="Arial" w:hAnsi="Arial" w:cs="Arial"/>
          <w:sz w:val="20"/>
          <w:szCs w:val="20"/>
        </w:rPr>
        <w:t>Posterior circulation stroke within 18 hours of stroke symptom onset or</w:t>
      </w:r>
    </w:p>
    <w:p w14:paraId="0E5706B3" w14:textId="77777777" w:rsidR="00DD6D10" w:rsidRPr="00DD6D10" w:rsidRDefault="00DD6D10" w:rsidP="00DD6D10">
      <w:pPr>
        <w:pStyle w:val="ListParagraph"/>
        <w:numPr>
          <w:ilvl w:val="0"/>
          <w:numId w:val="35"/>
        </w:numPr>
        <w:tabs>
          <w:tab w:val="left" w:pos="360"/>
        </w:tabs>
        <w:autoSpaceDE w:val="0"/>
        <w:autoSpaceDN w:val="0"/>
        <w:adjustRightInd w:val="0"/>
        <w:rPr>
          <w:rFonts w:ascii="Arial" w:hAnsi="Arial" w:cs="Arial"/>
          <w:sz w:val="20"/>
          <w:szCs w:val="20"/>
        </w:rPr>
      </w:pPr>
      <w:r w:rsidRPr="00DD6D10">
        <w:rPr>
          <w:rFonts w:ascii="Arial" w:hAnsi="Arial" w:cs="Arial"/>
          <w:sz w:val="20"/>
          <w:szCs w:val="20"/>
        </w:rPr>
        <w:t>Wake-up strokes or anterior circulation strokes of beyond 8 hours or unknown time onset with clinical – CT/DWI mismatch (correlate with FLAIR sequences)</w:t>
      </w:r>
    </w:p>
    <w:p w14:paraId="3BA8B4A7" w14:textId="77777777" w:rsidR="00DD6D10" w:rsidRPr="00DD6D10" w:rsidRDefault="00DD6D10" w:rsidP="00DD6D10">
      <w:pPr>
        <w:numPr>
          <w:ilvl w:val="1"/>
          <w:numId w:val="10"/>
        </w:numPr>
        <w:tabs>
          <w:tab w:val="left" w:pos="360"/>
        </w:tabs>
        <w:autoSpaceDE w:val="0"/>
        <w:autoSpaceDN w:val="0"/>
        <w:adjustRightInd w:val="0"/>
        <w:rPr>
          <w:rFonts w:ascii="Arial" w:hAnsi="Arial" w:cs="Arial"/>
          <w:sz w:val="20"/>
          <w:szCs w:val="20"/>
        </w:rPr>
      </w:pPr>
    </w:p>
    <w:p w14:paraId="52274A47" w14:textId="77777777" w:rsidR="0015776B" w:rsidRPr="0015776B" w:rsidRDefault="0015776B" w:rsidP="0015776B">
      <w:pPr>
        <w:numPr>
          <w:ilvl w:val="0"/>
          <w:numId w:val="11"/>
        </w:numPr>
        <w:autoSpaceDE w:val="0"/>
        <w:autoSpaceDN w:val="0"/>
        <w:adjustRightInd w:val="0"/>
        <w:rPr>
          <w:rFonts w:ascii="Arial" w:hAnsi="Arial" w:cs="Arial"/>
          <w:sz w:val="20"/>
          <w:szCs w:val="20"/>
        </w:rPr>
      </w:pPr>
      <w:r w:rsidRPr="0015776B">
        <w:rPr>
          <w:rFonts w:ascii="Arial" w:hAnsi="Arial" w:cs="Arial"/>
          <w:b/>
          <w:bCs/>
          <w:sz w:val="20"/>
          <w:szCs w:val="20"/>
        </w:rPr>
        <w:t xml:space="preserve">B. Contraindications </w:t>
      </w:r>
    </w:p>
    <w:p w14:paraId="485956F1" w14:textId="77777777" w:rsidR="00DD6D10" w:rsidRPr="00DD6D10" w:rsidRDefault="00DD6D10" w:rsidP="00DD6D10">
      <w:pPr>
        <w:pStyle w:val="ListParagraph"/>
        <w:numPr>
          <w:ilvl w:val="0"/>
          <w:numId w:val="34"/>
        </w:numPr>
        <w:autoSpaceDE w:val="0"/>
        <w:autoSpaceDN w:val="0"/>
        <w:adjustRightInd w:val="0"/>
        <w:rPr>
          <w:rFonts w:ascii="Arial" w:hAnsi="Arial" w:cs="Arial"/>
          <w:sz w:val="20"/>
          <w:szCs w:val="20"/>
        </w:rPr>
      </w:pPr>
      <w:r w:rsidRPr="00DD6D10">
        <w:rPr>
          <w:rFonts w:ascii="Arial" w:hAnsi="Arial" w:cs="Arial"/>
          <w:sz w:val="20"/>
          <w:szCs w:val="20"/>
        </w:rPr>
        <w:t>Evidence of infarction &gt; 70 cm3 DWI (ca</w:t>
      </w:r>
      <w:r w:rsidR="00A02994">
        <w:rPr>
          <w:rFonts w:ascii="Arial" w:hAnsi="Arial" w:cs="Arial"/>
          <w:sz w:val="20"/>
          <w:szCs w:val="20"/>
        </w:rPr>
        <w:t>lculation using abc/2) or CT AS</w:t>
      </w:r>
      <w:r w:rsidRPr="00DD6D10">
        <w:rPr>
          <w:rFonts w:ascii="Arial" w:hAnsi="Arial" w:cs="Arial"/>
          <w:sz w:val="20"/>
          <w:szCs w:val="20"/>
        </w:rPr>
        <w:t xml:space="preserve">PECTS &lt; 5. </w:t>
      </w:r>
    </w:p>
    <w:p w14:paraId="26692A87" w14:textId="77777777" w:rsidR="0015776B" w:rsidRPr="00DD6D10" w:rsidRDefault="00DD6D10" w:rsidP="00DD6D10">
      <w:pPr>
        <w:pStyle w:val="ListParagraph"/>
        <w:numPr>
          <w:ilvl w:val="0"/>
          <w:numId w:val="34"/>
        </w:numPr>
        <w:autoSpaceDE w:val="0"/>
        <w:autoSpaceDN w:val="0"/>
        <w:adjustRightInd w:val="0"/>
        <w:rPr>
          <w:rFonts w:ascii="Arial" w:hAnsi="Arial" w:cs="Arial"/>
          <w:sz w:val="20"/>
          <w:szCs w:val="20"/>
        </w:rPr>
      </w:pPr>
      <w:r w:rsidRPr="00DD6D10">
        <w:rPr>
          <w:rFonts w:ascii="Arial" w:hAnsi="Arial" w:cs="Arial"/>
          <w:sz w:val="20"/>
          <w:szCs w:val="20"/>
        </w:rPr>
        <w:t>Significant mass effect with midline shift</w:t>
      </w:r>
      <w:r w:rsidR="0015776B" w:rsidRPr="00DD6D10">
        <w:rPr>
          <w:rFonts w:ascii="Arial" w:hAnsi="Arial" w:cs="Arial"/>
          <w:sz w:val="20"/>
          <w:szCs w:val="20"/>
        </w:rPr>
        <w:t xml:space="preserve">      </w:t>
      </w:r>
    </w:p>
    <w:p w14:paraId="2B9141C1" w14:textId="77777777" w:rsidR="0015776B" w:rsidRPr="0015776B" w:rsidRDefault="0015776B" w:rsidP="0015776B">
      <w:pPr>
        <w:numPr>
          <w:ilvl w:val="0"/>
          <w:numId w:val="12"/>
        </w:numPr>
        <w:autoSpaceDE w:val="0"/>
        <w:autoSpaceDN w:val="0"/>
        <w:adjustRightInd w:val="0"/>
        <w:rPr>
          <w:rFonts w:ascii="Arial" w:hAnsi="Arial"/>
          <w:b/>
          <w:sz w:val="20"/>
          <w:szCs w:val="20"/>
        </w:rPr>
      </w:pPr>
    </w:p>
    <w:p w14:paraId="7E94523D" w14:textId="77777777" w:rsidR="0015776B" w:rsidRPr="0015776B" w:rsidRDefault="0015776B" w:rsidP="0015776B">
      <w:pPr>
        <w:numPr>
          <w:ilvl w:val="0"/>
          <w:numId w:val="12"/>
        </w:numPr>
        <w:autoSpaceDE w:val="0"/>
        <w:autoSpaceDN w:val="0"/>
        <w:adjustRightInd w:val="0"/>
        <w:rPr>
          <w:rFonts w:ascii="Arial" w:hAnsi="Arial"/>
          <w:b/>
          <w:sz w:val="20"/>
          <w:szCs w:val="20"/>
        </w:rPr>
      </w:pPr>
      <w:r w:rsidRPr="0015776B">
        <w:rPr>
          <w:rFonts w:ascii="Arial" w:hAnsi="Arial"/>
          <w:b/>
          <w:sz w:val="20"/>
          <w:szCs w:val="20"/>
        </w:rPr>
        <w:t xml:space="preserve">C. Warnings (risks must be weighed against anticipated benefits) </w:t>
      </w:r>
    </w:p>
    <w:p w14:paraId="1B23F928" w14:textId="77777777" w:rsidR="00DD6D10" w:rsidRPr="00DD6D10" w:rsidRDefault="00DD6D10" w:rsidP="00DD6D10">
      <w:pPr>
        <w:pStyle w:val="ListParagraph"/>
        <w:numPr>
          <w:ilvl w:val="0"/>
          <w:numId w:val="36"/>
        </w:numPr>
        <w:autoSpaceDE w:val="0"/>
        <w:autoSpaceDN w:val="0"/>
        <w:adjustRightInd w:val="0"/>
        <w:rPr>
          <w:rFonts w:ascii="Arial" w:hAnsi="Arial"/>
          <w:sz w:val="20"/>
          <w:szCs w:val="20"/>
        </w:rPr>
      </w:pPr>
      <w:r w:rsidRPr="00DD6D10">
        <w:rPr>
          <w:rFonts w:ascii="Arial" w:hAnsi="Arial"/>
          <w:sz w:val="20"/>
          <w:szCs w:val="20"/>
        </w:rPr>
        <w:t>Suspicion of aortic dissection</w:t>
      </w:r>
    </w:p>
    <w:p w14:paraId="4E1A24E9" w14:textId="77777777" w:rsidR="00DD6D10" w:rsidRPr="00DD6D10" w:rsidRDefault="00DD6D10" w:rsidP="00DD6D10">
      <w:pPr>
        <w:pStyle w:val="ListParagraph"/>
        <w:numPr>
          <w:ilvl w:val="0"/>
          <w:numId w:val="36"/>
        </w:numPr>
        <w:autoSpaceDE w:val="0"/>
        <w:autoSpaceDN w:val="0"/>
        <w:adjustRightInd w:val="0"/>
        <w:rPr>
          <w:rFonts w:ascii="Arial" w:hAnsi="Arial"/>
          <w:sz w:val="20"/>
          <w:szCs w:val="20"/>
        </w:rPr>
      </w:pPr>
      <w:r w:rsidRPr="00DD6D10">
        <w:rPr>
          <w:rFonts w:ascii="Arial" w:hAnsi="Arial"/>
          <w:sz w:val="20"/>
          <w:szCs w:val="20"/>
        </w:rPr>
        <w:t>Renal insufficiency (i.e. creatinine &gt; 2) not on dialysis</w:t>
      </w:r>
    </w:p>
    <w:p w14:paraId="5C06CD05" w14:textId="77777777" w:rsidR="00DD6D10" w:rsidRPr="00DD6D10" w:rsidRDefault="00DD6D10" w:rsidP="00DD6D10">
      <w:pPr>
        <w:pStyle w:val="ListParagraph"/>
        <w:numPr>
          <w:ilvl w:val="0"/>
          <w:numId w:val="36"/>
        </w:numPr>
        <w:autoSpaceDE w:val="0"/>
        <w:autoSpaceDN w:val="0"/>
        <w:adjustRightInd w:val="0"/>
        <w:rPr>
          <w:rFonts w:ascii="Arial" w:hAnsi="Arial"/>
          <w:sz w:val="20"/>
          <w:szCs w:val="20"/>
        </w:rPr>
      </w:pPr>
      <w:r w:rsidRPr="00DD6D10">
        <w:rPr>
          <w:rFonts w:ascii="Arial" w:hAnsi="Arial"/>
          <w:sz w:val="20"/>
          <w:szCs w:val="20"/>
        </w:rPr>
        <w:t>Minor neurological deficit or rapidly improving symptoms</w:t>
      </w:r>
    </w:p>
    <w:p w14:paraId="0BF41282" w14:textId="77777777" w:rsidR="00DD6D10" w:rsidRPr="00DD6D10" w:rsidRDefault="00DD6D10" w:rsidP="00DD6D10">
      <w:pPr>
        <w:pStyle w:val="ListParagraph"/>
        <w:numPr>
          <w:ilvl w:val="0"/>
          <w:numId w:val="36"/>
        </w:numPr>
        <w:autoSpaceDE w:val="0"/>
        <w:autoSpaceDN w:val="0"/>
        <w:adjustRightInd w:val="0"/>
        <w:rPr>
          <w:rFonts w:ascii="Arial" w:hAnsi="Arial"/>
          <w:sz w:val="20"/>
          <w:szCs w:val="20"/>
        </w:rPr>
      </w:pPr>
      <w:r w:rsidRPr="00DD6D10">
        <w:rPr>
          <w:rFonts w:ascii="Arial" w:hAnsi="Arial"/>
          <w:sz w:val="20"/>
          <w:szCs w:val="20"/>
        </w:rPr>
        <w:t>NIHSS 6 to 8: may conside</w:t>
      </w:r>
      <w:r w:rsidR="004D134A">
        <w:rPr>
          <w:rFonts w:ascii="Arial" w:hAnsi="Arial"/>
          <w:sz w:val="20"/>
          <w:szCs w:val="20"/>
        </w:rPr>
        <w:t>r patient; recommend CTA triage</w:t>
      </w:r>
    </w:p>
    <w:p w14:paraId="2D76C8F7" w14:textId="77777777" w:rsidR="00DD6D10" w:rsidRPr="00DD6D10" w:rsidRDefault="00DD6D10" w:rsidP="00DD6D10">
      <w:pPr>
        <w:pStyle w:val="ListParagraph"/>
        <w:numPr>
          <w:ilvl w:val="0"/>
          <w:numId w:val="36"/>
        </w:numPr>
        <w:autoSpaceDE w:val="0"/>
        <w:autoSpaceDN w:val="0"/>
        <w:adjustRightInd w:val="0"/>
        <w:rPr>
          <w:rFonts w:ascii="Arial" w:hAnsi="Arial"/>
          <w:sz w:val="20"/>
          <w:szCs w:val="20"/>
        </w:rPr>
      </w:pPr>
      <w:r w:rsidRPr="00DD6D10">
        <w:rPr>
          <w:rFonts w:ascii="Arial" w:hAnsi="Arial"/>
          <w:sz w:val="20"/>
          <w:szCs w:val="20"/>
        </w:rPr>
        <w:t>History of IVDA and/or suspicion for endocarditis</w:t>
      </w:r>
    </w:p>
    <w:p w14:paraId="41086700" w14:textId="77777777" w:rsidR="00DD6D10" w:rsidRPr="00DD6D10" w:rsidRDefault="00DD6D10" w:rsidP="00DD6D10">
      <w:pPr>
        <w:pStyle w:val="ListParagraph"/>
        <w:numPr>
          <w:ilvl w:val="0"/>
          <w:numId w:val="36"/>
        </w:numPr>
        <w:autoSpaceDE w:val="0"/>
        <w:autoSpaceDN w:val="0"/>
        <w:adjustRightInd w:val="0"/>
        <w:rPr>
          <w:rFonts w:ascii="Arial" w:hAnsi="Arial"/>
          <w:sz w:val="20"/>
          <w:szCs w:val="20"/>
        </w:rPr>
      </w:pPr>
      <w:r w:rsidRPr="00DD6D10">
        <w:rPr>
          <w:rFonts w:ascii="Arial" w:hAnsi="Arial"/>
          <w:sz w:val="20"/>
          <w:szCs w:val="20"/>
        </w:rPr>
        <w:t>Pregnancy (a lead shield may be placed over the abdomen)</w:t>
      </w:r>
    </w:p>
    <w:p w14:paraId="7A643879" w14:textId="77777777" w:rsidR="00DD6D10" w:rsidRPr="00DD6D10" w:rsidRDefault="00DD6D10" w:rsidP="00DD6D10">
      <w:pPr>
        <w:pStyle w:val="ListParagraph"/>
        <w:numPr>
          <w:ilvl w:val="0"/>
          <w:numId w:val="36"/>
        </w:numPr>
        <w:autoSpaceDE w:val="0"/>
        <w:autoSpaceDN w:val="0"/>
        <w:adjustRightInd w:val="0"/>
        <w:rPr>
          <w:rFonts w:ascii="Arial" w:hAnsi="Arial"/>
          <w:sz w:val="20"/>
          <w:szCs w:val="20"/>
        </w:rPr>
      </w:pPr>
      <w:r w:rsidRPr="00DD6D10">
        <w:rPr>
          <w:rFonts w:ascii="Arial" w:hAnsi="Arial"/>
          <w:sz w:val="20"/>
          <w:szCs w:val="20"/>
        </w:rPr>
        <w:t>Significant impaired baseline functional status (mRS &gt;4)</w:t>
      </w:r>
    </w:p>
    <w:p w14:paraId="71D7731D" w14:textId="4CDFA45D" w:rsidR="0015776B" w:rsidRPr="00DD6D10" w:rsidRDefault="00DD6D10" w:rsidP="00DD6D10">
      <w:pPr>
        <w:pStyle w:val="ListParagraph"/>
        <w:numPr>
          <w:ilvl w:val="0"/>
          <w:numId w:val="36"/>
        </w:numPr>
        <w:autoSpaceDE w:val="0"/>
        <w:autoSpaceDN w:val="0"/>
        <w:adjustRightInd w:val="0"/>
        <w:rPr>
          <w:rFonts w:ascii="Arial" w:hAnsi="Arial"/>
          <w:sz w:val="20"/>
          <w:szCs w:val="20"/>
        </w:rPr>
      </w:pPr>
      <w:r w:rsidRPr="00DD6D10">
        <w:rPr>
          <w:rFonts w:ascii="Arial" w:hAnsi="Arial"/>
          <w:sz w:val="20"/>
          <w:szCs w:val="20"/>
        </w:rPr>
        <w:t>Informed consent cannot be obtained. Two physician consent may b</w:t>
      </w:r>
      <w:r w:rsidR="000B3462">
        <w:rPr>
          <w:rFonts w:ascii="Arial" w:hAnsi="Arial"/>
          <w:sz w:val="20"/>
          <w:szCs w:val="20"/>
        </w:rPr>
        <w:t>e utilized on an emergent basis</w:t>
      </w:r>
    </w:p>
    <w:p w14:paraId="716814CC" w14:textId="77777777" w:rsidR="00DD6D10" w:rsidRPr="0015776B" w:rsidRDefault="00DD6D10" w:rsidP="00DD6D10">
      <w:pPr>
        <w:autoSpaceDE w:val="0"/>
        <w:autoSpaceDN w:val="0"/>
        <w:adjustRightInd w:val="0"/>
        <w:rPr>
          <w:rFonts w:ascii="Arial" w:hAnsi="Arial"/>
          <w:b/>
          <w:sz w:val="20"/>
          <w:szCs w:val="20"/>
        </w:rPr>
      </w:pPr>
    </w:p>
    <w:p w14:paraId="40F2BA4A" w14:textId="77777777" w:rsidR="0015776B" w:rsidRPr="0015776B" w:rsidRDefault="0015776B" w:rsidP="0015776B">
      <w:pPr>
        <w:autoSpaceDE w:val="0"/>
        <w:autoSpaceDN w:val="0"/>
        <w:adjustRightInd w:val="0"/>
        <w:rPr>
          <w:rFonts w:ascii="Arial" w:hAnsi="Arial"/>
          <w:b/>
          <w:sz w:val="20"/>
          <w:szCs w:val="20"/>
        </w:rPr>
      </w:pPr>
      <w:r w:rsidRPr="0015776B">
        <w:rPr>
          <w:rFonts w:ascii="Arial" w:hAnsi="Arial"/>
          <w:b/>
          <w:sz w:val="20"/>
          <w:szCs w:val="20"/>
        </w:rPr>
        <w:t xml:space="preserve">D. Not a contraindication </w:t>
      </w:r>
    </w:p>
    <w:p w14:paraId="3AE17D2E" w14:textId="066EA226" w:rsidR="00DD6D10" w:rsidRPr="00DD6D10" w:rsidRDefault="00DD6D10" w:rsidP="00DD6D10">
      <w:pPr>
        <w:pStyle w:val="ListParagraph"/>
        <w:numPr>
          <w:ilvl w:val="0"/>
          <w:numId w:val="37"/>
        </w:numPr>
        <w:autoSpaceDE w:val="0"/>
        <w:autoSpaceDN w:val="0"/>
        <w:adjustRightInd w:val="0"/>
        <w:rPr>
          <w:rFonts w:ascii="Arial" w:hAnsi="Arial"/>
          <w:sz w:val="20"/>
          <w:szCs w:val="20"/>
        </w:rPr>
      </w:pPr>
      <w:r w:rsidRPr="00DD6D10">
        <w:rPr>
          <w:rFonts w:ascii="Arial" w:hAnsi="Arial"/>
          <w:sz w:val="20"/>
          <w:szCs w:val="20"/>
        </w:rPr>
        <w:t xml:space="preserve">Current use of anti-platelets, oral anticoagulants with abnormal INR </w:t>
      </w:r>
    </w:p>
    <w:p w14:paraId="778C0E72" w14:textId="77777777" w:rsidR="0015776B" w:rsidRPr="00DD6D10" w:rsidRDefault="00DD6D10" w:rsidP="00DD6D10">
      <w:pPr>
        <w:pStyle w:val="ListParagraph"/>
        <w:numPr>
          <w:ilvl w:val="0"/>
          <w:numId w:val="37"/>
        </w:numPr>
        <w:autoSpaceDE w:val="0"/>
        <w:autoSpaceDN w:val="0"/>
        <w:adjustRightInd w:val="0"/>
        <w:rPr>
          <w:rFonts w:ascii="Arial" w:hAnsi="Arial"/>
          <w:sz w:val="20"/>
          <w:szCs w:val="20"/>
        </w:rPr>
      </w:pPr>
      <w:r w:rsidRPr="00DD6D10">
        <w:rPr>
          <w:rFonts w:ascii="Arial" w:hAnsi="Arial"/>
          <w:sz w:val="20"/>
          <w:szCs w:val="20"/>
        </w:rPr>
        <w:t>Post-surgery or cardiac catheterization (minimize lytics)</w:t>
      </w:r>
    </w:p>
    <w:p w14:paraId="53132938" w14:textId="77777777" w:rsidR="0015776B" w:rsidRPr="0015776B" w:rsidRDefault="0015776B" w:rsidP="0015776B">
      <w:pPr>
        <w:autoSpaceDE w:val="0"/>
        <w:autoSpaceDN w:val="0"/>
        <w:adjustRightInd w:val="0"/>
        <w:rPr>
          <w:rFonts w:ascii="Arial" w:hAnsi="Arial"/>
        </w:rPr>
      </w:pPr>
    </w:p>
    <w:p w14:paraId="21212249" w14:textId="77777777" w:rsidR="0015776B" w:rsidRPr="0015776B" w:rsidRDefault="00A02994" w:rsidP="00A02994">
      <w:pPr>
        <w:numPr>
          <w:ilvl w:val="0"/>
          <w:numId w:val="13"/>
        </w:numPr>
        <w:autoSpaceDE w:val="0"/>
        <w:autoSpaceDN w:val="0"/>
        <w:adjustRightInd w:val="0"/>
        <w:rPr>
          <w:rFonts w:ascii="Arial" w:hAnsi="Arial"/>
          <w:b/>
          <w:sz w:val="20"/>
          <w:szCs w:val="20"/>
        </w:rPr>
      </w:pPr>
      <w:r>
        <w:rPr>
          <w:rFonts w:ascii="Arial" w:hAnsi="Arial"/>
          <w:b/>
          <w:sz w:val="20"/>
          <w:szCs w:val="20"/>
        </w:rPr>
        <w:t>E</w:t>
      </w:r>
      <w:r w:rsidRPr="00A02994">
        <w:rPr>
          <w:rFonts w:ascii="Arial" w:hAnsi="Arial"/>
          <w:b/>
          <w:sz w:val="20"/>
          <w:szCs w:val="20"/>
        </w:rPr>
        <w:t>. For those patients presenting with suspected stro</w:t>
      </w:r>
      <w:r>
        <w:rPr>
          <w:rFonts w:ascii="Arial" w:hAnsi="Arial"/>
          <w:b/>
          <w:sz w:val="20"/>
          <w:szCs w:val="20"/>
        </w:rPr>
        <w:t>ke and NIHSS ≥ 8 to the Emergen</w:t>
      </w:r>
      <w:r w:rsidRPr="00A02994">
        <w:rPr>
          <w:rFonts w:ascii="Arial" w:hAnsi="Arial"/>
          <w:b/>
          <w:sz w:val="20"/>
          <w:szCs w:val="20"/>
        </w:rPr>
        <w:t>cy Room:</w:t>
      </w:r>
    </w:p>
    <w:p w14:paraId="0F2D154D" w14:textId="77777777" w:rsidR="00A02994" w:rsidRPr="00A02994" w:rsidRDefault="00A02994" w:rsidP="00A02994">
      <w:pPr>
        <w:pStyle w:val="ListParagraph"/>
        <w:numPr>
          <w:ilvl w:val="0"/>
          <w:numId w:val="38"/>
        </w:numPr>
        <w:autoSpaceDE w:val="0"/>
        <w:autoSpaceDN w:val="0"/>
        <w:adjustRightInd w:val="0"/>
        <w:rPr>
          <w:rFonts w:ascii="Arial" w:hAnsi="Arial"/>
          <w:sz w:val="20"/>
          <w:szCs w:val="20"/>
        </w:rPr>
      </w:pPr>
      <w:r w:rsidRPr="00A02994">
        <w:rPr>
          <w:rFonts w:ascii="Arial" w:hAnsi="Arial"/>
          <w:sz w:val="20"/>
          <w:szCs w:val="20"/>
        </w:rPr>
        <w:t>EMT/Triage: alert EM-MD and stroke fellow (pager 1620 or call stroke fellow direct via Stroke Hotline 1 844 BMC 4CVA / 1 844 262-4282) and stroke resident (P1 page)</w:t>
      </w:r>
    </w:p>
    <w:p w14:paraId="4F96E916" w14:textId="77777777" w:rsidR="00A02994" w:rsidRPr="00A02994" w:rsidRDefault="00A02994" w:rsidP="00A02994">
      <w:pPr>
        <w:pStyle w:val="ListParagraph"/>
        <w:numPr>
          <w:ilvl w:val="0"/>
          <w:numId w:val="38"/>
        </w:numPr>
        <w:autoSpaceDE w:val="0"/>
        <w:autoSpaceDN w:val="0"/>
        <w:adjustRightInd w:val="0"/>
        <w:rPr>
          <w:rFonts w:ascii="Arial" w:hAnsi="Arial"/>
          <w:sz w:val="20"/>
          <w:szCs w:val="20"/>
        </w:rPr>
      </w:pPr>
      <w:r w:rsidRPr="00A02994">
        <w:rPr>
          <w:rFonts w:ascii="Arial" w:hAnsi="Arial"/>
          <w:sz w:val="20"/>
          <w:szCs w:val="20"/>
        </w:rPr>
        <w:t>Patient is transferred to the Trauma Room on the Acute Side</w:t>
      </w:r>
      <w:r>
        <w:rPr>
          <w:rFonts w:ascii="Arial" w:hAnsi="Arial"/>
          <w:sz w:val="20"/>
          <w:szCs w:val="20"/>
        </w:rPr>
        <w:t xml:space="preserve"> </w:t>
      </w:r>
      <w:r w:rsidRPr="00A02994">
        <w:rPr>
          <w:rFonts w:ascii="Arial" w:hAnsi="Arial"/>
          <w:sz w:val="20"/>
          <w:szCs w:val="20"/>
        </w:rPr>
        <w:t>(Within 4.5 hours from symptom onset)</w:t>
      </w:r>
    </w:p>
    <w:p w14:paraId="6B78E115" w14:textId="77777777" w:rsidR="00A02994" w:rsidRDefault="00A02994" w:rsidP="00A02994">
      <w:pPr>
        <w:pStyle w:val="ListParagraph"/>
        <w:numPr>
          <w:ilvl w:val="0"/>
          <w:numId w:val="38"/>
        </w:numPr>
        <w:autoSpaceDE w:val="0"/>
        <w:autoSpaceDN w:val="0"/>
        <w:adjustRightInd w:val="0"/>
        <w:rPr>
          <w:rFonts w:ascii="Arial" w:hAnsi="Arial"/>
          <w:sz w:val="20"/>
          <w:szCs w:val="20"/>
        </w:rPr>
      </w:pPr>
      <w:r w:rsidRPr="00A02994">
        <w:rPr>
          <w:rFonts w:ascii="Arial" w:hAnsi="Arial"/>
          <w:sz w:val="20"/>
          <w:szCs w:val="20"/>
        </w:rPr>
        <w:t>EM/MD: ORDER STAT HEAD-CT AND STAT Neuro Consult (“Code Stroke 1” via trauma line 8-6000). If NIHSS 6-12, order stat CTA to look for vessel clot burden. CTA NOT to delay IV tPA if patient is a candidate. If NIHSS is &gt; 15 (new deficits) or patient pres</w:t>
      </w:r>
      <w:r>
        <w:rPr>
          <w:rFonts w:ascii="Arial" w:hAnsi="Arial"/>
          <w:sz w:val="20"/>
          <w:szCs w:val="20"/>
        </w:rPr>
        <w:t>ents with an MCA syndrome, noti</w:t>
      </w:r>
      <w:r w:rsidRPr="00A02994">
        <w:rPr>
          <w:rFonts w:ascii="Arial" w:hAnsi="Arial"/>
          <w:sz w:val="20"/>
          <w:szCs w:val="20"/>
        </w:rPr>
        <w:t>fy Neuro</w:t>
      </w:r>
      <w:r>
        <w:rPr>
          <w:rFonts w:ascii="Arial" w:hAnsi="Arial"/>
          <w:sz w:val="20"/>
          <w:szCs w:val="20"/>
        </w:rPr>
        <w:t>-</w:t>
      </w:r>
      <w:r w:rsidRPr="00A02994">
        <w:rPr>
          <w:rFonts w:ascii="Arial" w:hAnsi="Arial"/>
          <w:sz w:val="20"/>
          <w:szCs w:val="20"/>
        </w:rPr>
        <w:t>IR team (pager COIL/2645) to cons</w:t>
      </w:r>
      <w:r>
        <w:rPr>
          <w:rFonts w:ascii="Arial" w:hAnsi="Arial"/>
          <w:sz w:val="20"/>
          <w:szCs w:val="20"/>
        </w:rPr>
        <w:t>ider an emergent diagnostic cer</w:t>
      </w:r>
      <w:r w:rsidRPr="00A02994">
        <w:rPr>
          <w:rFonts w:ascii="Arial" w:hAnsi="Arial"/>
          <w:sz w:val="20"/>
          <w:szCs w:val="20"/>
        </w:rPr>
        <w:t>ebral angiography to identify target large vessel occlusion in place of CTA.</w:t>
      </w:r>
    </w:p>
    <w:p w14:paraId="175FD8A5" w14:textId="77777777" w:rsidR="00A02994" w:rsidRDefault="00A02994" w:rsidP="00A02994">
      <w:pPr>
        <w:pStyle w:val="ListParagraph"/>
        <w:numPr>
          <w:ilvl w:val="0"/>
          <w:numId w:val="38"/>
        </w:numPr>
        <w:autoSpaceDE w:val="0"/>
        <w:autoSpaceDN w:val="0"/>
        <w:adjustRightInd w:val="0"/>
        <w:rPr>
          <w:rFonts w:ascii="Arial" w:hAnsi="Arial"/>
          <w:sz w:val="20"/>
          <w:szCs w:val="20"/>
        </w:rPr>
      </w:pPr>
      <w:r>
        <w:rPr>
          <w:rFonts w:ascii="Arial" w:hAnsi="Arial"/>
          <w:sz w:val="20"/>
          <w:szCs w:val="20"/>
        </w:rPr>
        <w:t xml:space="preserve">RN/MD </w:t>
      </w:r>
    </w:p>
    <w:p w14:paraId="5306E8B7" w14:textId="77777777" w:rsidR="00A02994" w:rsidRDefault="00A02994" w:rsidP="00A02994">
      <w:pPr>
        <w:pStyle w:val="ListParagraph"/>
        <w:numPr>
          <w:ilvl w:val="1"/>
          <w:numId w:val="38"/>
        </w:numPr>
        <w:autoSpaceDE w:val="0"/>
        <w:autoSpaceDN w:val="0"/>
        <w:adjustRightInd w:val="0"/>
        <w:rPr>
          <w:rFonts w:ascii="Arial" w:hAnsi="Arial"/>
          <w:sz w:val="20"/>
          <w:szCs w:val="20"/>
        </w:rPr>
      </w:pPr>
      <w:r w:rsidRPr="00A02994">
        <w:rPr>
          <w:rFonts w:ascii="Arial" w:hAnsi="Arial"/>
          <w:sz w:val="20"/>
          <w:szCs w:val="20"/>
        </w:rPr>
        <w:t xml:space="preserve">Establish 2 IV sites, including stat 18 gauge right antecubital IV for CTA. </w:t>
      </w:r>
    </w:p>
    <w:p w14:paraId="4B1A85DA" w14:textId="77777777" w:rsidR="00A02994" w:rsidRDefault="00A02994" w:rsidP="00A02994">
      <w:pPr>
        <w:pStyle w:val="ListParagraph"/>
        <w:numPr>
          <w:ilvl w:val="1"/>
          <w:numId w:val="38"/>
        </w:numPr>
        <w:autoSpaceDE w:val="0"/>
        <w:autoSpaceDN w:val="0"/>
        <w:adjustRightInd w:val="0"/>
        <w:rPr>
          <w:rFonts w:ascii="Arial" w:hAnsi="Arial"/>
          <w:sz w:val="20"/>
          <w:szCs w:val="20"/>
        </w:rPr>
      </w:pPr>
      <w:r w:rsidRPr="00A02994">
        <w:rPr>
          <w:rFonts w:ascii="Arial" w:hAnsi="Arial"/>
          <w:sz w:val="20"/>
          <w:szCs w:val="20"/>
        </w:rPr>
        <w:t xml:space="preserve">Initiate fluid hydration in the ED with 500cc bolus of 0.9% NS (avoid hypo-tonic fluids) over the 1st hour, then NS at 100cc/h except in those patients who have a </w:t>
      </w:r>
      <w:r w:rsidRPr="00A02994">
        <w:rPr>
          <w:rFonts w:ascii="Arial" w:hAnsi="Arial"/>
          <w:sz w:val="20"/>
          <w:szCs w:val="20"/>
        </w:rPr>
        <w:lastRenderedPageBreak/>
        <w:t>contraindication (pulmonary edema, renal failure, known CHF/LVEF&lt;40%/mod-severe diastolic dysfunction)</w:t>
      </w:r>
    </w:p>
    <w:p w14:paraId="538DE013" w14:textId="77777777" w:rsidR="00A02994" w:rsidRPr="00A02994" w:rsidRDefault="00A02994" w:rsidP="00A02994">
      <w:pPr>
        <w:pStyle w:val="ListParagraph"/>
        <w:numPr>
          <w:ilvl w:val="1"/>
          <w:numId w:val="38"/>
        </w:numPr>
        <w:autoSpaceDE w:val="0"/>
        <w:autoSpaceDN w:val="0"/>
        <w:adjustRightInd w:val="0"/>
        <w:rPr>
          <w:rFonts w:ascii="Arial" w:hAnsi="Arial"/>
          <w:sz w:val="20"/>
          <w:szCs w:val="20"/>
        </w:rPr>
      </w:pPr>
      <w:r w:rsidRPr="00A02994">
        <w:rPr>
          <w:rFonts w:ascii="Arial" w:hAnsi="Arial"/>
          <w:sz w:val="20"/>
          <w:szCs w:val="20"/>
        </w:rPr>
        <w:t>Consider Foley or condom catheter (this should NOT delay time to CT head)</w:t>
      </w:r>
    </w:p>
    <w:p w14:paraId="04DA179E" w14:textId="77777777" w:rsidR="00A02994" w:rsidRDefault="00A02994" w:rsidP="00A02994">
      <w:pPr>
        <w:pStyle w:val="ListParagraph"/>
        <w:numPr>
          <w:ilvl w:val="0"/>
          <w:numId w:val="38"/>
        </w:numPr>
        <w:autoSpaceDE w:val="0"/>
        <w:autoSpaceDN w:val="0"/>
        <w:adjustRightInd w:val="0"/>
        <w:rPr>
          <w:rFonts w:ascii="Arial" w:hAnsi="Arial"/>
          <w:sz w:val="20"/>
          <w:szCs w:val="20"/>
        </w:rPr>
      </w:pPr>
      <w:r w:rsidRPr="00A02994">
        <w:rPr>
          <w:rFonts w:ascii="Arial" w:hAnsi="Arial"/>
          <w:sz w:val="20"/>
          <w:szCs w:val="20"/>
        </w:rPr>
        <w:t>STAT Labs: PTT, INR, CBC (without diff), electrolytes, BUN, creatinine, CK &amp; troponin, glucose, type &amp; hold, ESR</w:t>
      </w:r>
      <w:r>
        <w:rPr>
          <w:rFonts w:ascii="Arial" w:hAnsi="Arial"/>
          <w:sz w:val="20"/>
          <w:szCs w:val="20"/>
        </w:rPr>
        <w:t>,</w:t>
      </w:r>
      <w:r w:rsidRPr="00A02994">
        <w:rPr>
          <w:rFonts w:ascii="Arial" w:hAnsi="Arial"/>
          <w:sz w:val="20"/>
          <w:szCs w:val="20"/>
        </w:rPr>
        <w:t xml:space="preserve"> CRP</w:t>
      </w:r>
    </w:p>
    <w:p w14:paraId="3DC8AC4A" w14:textId="77777777" w:rsidR="00A02994" w:rsidRDefault="00A02994" w:rsidP="00A02994">
      <w:pPr>
        <w:pStyle w:val="ListParagraph"/>
        <w:numPr>
          <w:ilvl w:val="0"/>
          <w:numId w:val="38"/>
        </w:numPr>
        <w:autoSpaceDE w:val="0"/>
        <w:autoSpaceDN w:val="0"/>
        <w:adjustRightInd w:val="0"/>
        <w:rPr>
          <w:rFonts w:ascii="Arial" w:hAnsi="Arial"/>
          <w:sz w:val="20"/>
          <w:szCs w:val="20"/>
        </w:rPr>
      </w:pPr>
      <w:r w:rsidRPr="00A02994">
        <w:rPr>
          <w:rFonts w:ascii="Arial" w:hAnsi="Arial"/>
          <w:sz w:val="20"/>
          <w:szCs w:val="20"/>
        </w:rPr>
        <w:t>Order STAT CTA with initial CT head if concern for large vess</w:t>
      </w:r>
      <w:r>
        <w:rPr>
          <w:rFonts w:ascii="Arial" w:hAnsi="Arial"/>
          <w:sz w:val="20"/>
          <w:szCs w:val="20"/>
        </w:rPr>
        <w:t>el occlu</w:t>
      </w:r>
      <w:r w:rsidRPr="00A02994">
        <w:rPr>
          <w:rFonts w:ascii="Arial" w:hAnsi="Arial"/>
          <w:sz w:val="20"/>
          <w:szCs w:val="20"/>
        </w:rPr>
        <w:t>sion</w:t>
      </w:r>
    </w:p>
    <w:p w14:paraId="56866CF2" w14:textId="77777777" w:rsidR="00A02994" w:rsidRDefault="00A02994" w:rsidP="00A02994">
      <w:pPr>
        <w:pStyle w:val="ListParagraph"/>
        <w:numPr>
          <w:ilvl w:val="0"/>
          <w:numId w:val="38"/>
        </w:numPr>
        <w:autoSpaceDE w:val="0"/>
        <w:autoSpaceDN w:val="0"/>
        <w:adjustRightInd w:val="0"/>
        <w:rPr>
          <w:rFonts w:ascii="Arial" w:hAnsi="Arial"/>
          <w:sz w:val="20"/>
          <w:szCs w:val="20"/>
        </w:rPr>
      </w:pPr>
      <w:r w:rsidRPr="00A02994">
        <w:rPr>
          <w:rFonts w:ascii="Arial" w:hAnsi="Arial"/>
          <w:sz w:val="20"/>
          <w:szCs w:val="20"/>
        </w:rPr>
        <w:t xml:space="preserve">If CT with ASPECTS &gt; 6, STAT </w:t>
      </w:r>
      <w:r>
        <w:rPr>
          <w:rFonts w:ascii="Arial" w:hAnsi="Arial"/>
          <w:sz w:val="20"/>
          <w:szCs w:val="20"/>
        </w:rPr>
        <w:t>page Neurointerventional Attend</w:t>
      </w:r>
      <w:r w:rsidRPr="00A02994">
        <w:rPr>
          <w:rFonts w:ascii="Arial" w:hAnsi="Arial"/>
          <w:sz w:val="20"/>
          <w:szCs w:val="20"/>
        </w:rPr>
        <w:t>ing</w:t>
      </w:r>
      <w:r w:rsidR="004928EE">
        <w:rPr>
          <w:rFonts w:ascii="Arial" w:hAnsi="Arial"/>
          <w:sz w:val="20"/>
          <w:szCs w:val="20"/>
        </w:rPr>
        <w:t xml:space="preserve"> </w:t>
      </w:r>
      <w:r w:rsidRPr="00A02994">
        <w:rPr>
          <w:rFonts w:ascii="Arial" w:hAnsi="Arial"/>
          <w:sz w:val="20"/>
          <w:szCs w:val="20"/>
        </w:rPr>
        <w:t>(pager COIL/2645) who activates angio team. tPA is approved</w:t>
      </w:r>
      <w:r w:rsidR="004D134A">
        <w:rPr>
          <w:rFonts w:ascii="Arial" w:hAnsi="Arial"/>
          <w:sz w:val="20"/>
          <w:szCs w:val="20"/>
        </w:rPr>
        <w:t xml:space="preserve"> by stroke attending, 0.9mg/kg</w:t>
      </w:r>
    </w:p>
    <w:p w14:paraId="7E0E667D" w14:textId="77777777" w:rsidR="00A02994" w:rsidRPr="00A02994" w:rsidRDefault="00A02994" w:rsidP="00A02994">
      <w:pPr>
        <w:pStyle w:val="ListParagraph"/>
        <w:numPr>
          <w:ilvl w:val="0"/>
          <w:numId w:val="38"/>
        </w:numPr>
        <w:autoSpaceDE w:val="0"/>
        <w:autoSpaceDN w:val="0"/>
        <w:adjustRightInd w:val="0"/>
        <w:rPr>
          <w:rFonts w:ascii="Arial" w:hAnsi="Arial"/>
          <w:sz w:val="20"/>
          <w:szCs w:val="20"/>
        </w:rPr>
      </w:pPr>
      <w:r w:rsidRPr="00A02994">
        <w:rPr>
          <w:rFonts w:ascii="Arial" w:hAnsi="Arial"/>
          <w:sz w:val="20"/>
          <w:szCs w:val="20"/>
        </w:rPr>
        <w:t>Patient is conside</w:t>
      </w:r>
      <w:r w:rsidR="004D134A">
        <w:rPr>
          <w:rFonts w:ascii="Arial" w:hAnsi="Arial"/>
          <w:sz w:val="20"/>
          <w:szCs w:val="20"/>
        </w:rPr>
        <w:t>red for IA endovascular therapy</w:t>
      </w:r>
    </w:p>
    <w:p w14:paraId="097EBCCE" w14:textId="77777777" w:rsidR="00A02994" w:rsidRPr="00A02994" w:rsidRDefault="00A02994" w:rsidP="00A02994">
      <w:pPr>
        <w:autoSpaceDE w:val="0"/>
        <w:autoSpaceDN w:val="0"/>
        <w:adjustRightInd w:val="0"/>
        <w:rPr>
          <w:rFonts w:ascii="Arial" w:hAnsi="Arial"/>
          <w:sz w:val="20"/>
          <w:szCs w:val="20"/>
        </w:rPr>
      </w:pPr>
    </w:p>
    <w:p w14:paraId="5E1DD3D2" w14:textId="77777777" w:rsidR="00A02994" w:rsidRPr="00A02994" w:rsidRDefault="00A02994" w:rsidP="00A02994">
      <w:pPr>
        <w:autoSpaceDE w:val="0"/>
        <w:autoSpaceDN w:val="0"/>
        <w:adjustRightInd w:val="0"/>
        <w:rPr>
          <w:rFonts w:ascii="Arial" w:hAnsi="Arial"/>
          <w:sz w:val="20"/>
          <w:szCs w:val="20"/>
        </w:rPr>
      </w:pPr>
      <w:r w:rsidRPr="00A02994">
        <w:rPr>
          <w:rFonts w:ascii="Arial" w:hAnsi="Arial"/>
          <w:sz w:val="20"/>
          <w:szCs w:val="20"/>
        </w:rPr>
        <w:t>&gt;4.5 hours from symptom onset, wake-up s</w:t>
      </w:r>
      <w:r w:rsidR="004928EE">
        <w:rPr>
          <w:rFonts w:ascii="Arial" w:hAnsi="Arial"/>
          <w:sz w:val="20"/>
          <w:szCs w:val="20"/>
        </w:rPr>
        <w:t>troke or unknown symptom on-set</w:t>
      </w:r>
    </w:p>
    <w:p w14:paraId="395406D7" w14:textId="77777777" w:rsidR="00A02994" w:rsidRPr="004928EE" w:rsidRDefault="00A02994" w:rsidP="004928EE">
      <w:pPr>
        <w:pStyle w:val="ListParagraph"/>
        <w:numPr>
          <w:ilvl w:val="0"/>
          <w:numId w:val="43"/>
        </w:numPr>
        <w:autoSpaceDE w:val="0"/>
        <w:autoSpaceDN w:val="0"/>
        <w:adjustRightInd w:val="0"/>
        <w:rPr>
          <w:rFonts w:ascii="Arial" w:hAnsi="Arial"/>
          <w:sz w:val="20"/>
          <w:szCs w:val="20"/>
        </w:rPr>
      </w:pPr>
      <w:r w:rsidRPr="004928EE">
        <w:rPr>
          <w:rFonts w:ascii="Arial" w:hAnsi="Arial"/>
          <w:sz w:val="20"/>
          <w:szCs w:val="20"/>
        </w:rPr>
        <w:t>If CT head does not show obvious hypodensity ASPECTS &lt;6, or CT head difficult to interpret ASPECTS, order STAT CTA (intra/extra-cranial CTA) or consider STAT</w:t>
      </w:r>
      <w:r w:rsidR="004D134A">
        <w:rPr>
          <w:rFonts w:ascii="Arial" w:hAnsi="Arial"/>
          <w:sz w:val="20"/>
          <w:szCs w:val="20"/>
        </w:rPr>
        <w:t xml:space="preserve"> MRI (DWI) if readily available</w:t>
      </w:r>
      <w:r w:rsidRPr="004928EE">
        <w:rPr>
          <w:rFonts w:ascii="Arial" w:hAnsi="Arial"/>
          <w:sz w:val="20"/>
          <w:szCs w:val="20"/>
        </w:rPr>
        <w:t xml:space="preserve"> </w:t>
      </w:r>
    </w:p>
    <w:p w14:paraId="679740FE" w14:textId="77777777" w:rsidR="00A02994" w:rsidRPr="00A02994" w:rsidRDefault="00A02994" w:rsidP="00A02994">
      <w:pPr>
        <w:autoSpaceDE w:val="0"/>
        <w:autoSpaceDN w:val="0"/>
        <w:adjustRightInd w:val="0"/>
        <w:rPr>
          <w:rFonts w:ascii="Arial" w:hAnsi="Arial"/>
          <w:sz w:val="20"/>
          <w:szCs w:val="20"/>
        </w:rPr>
      </w:pPr>
    </w:p>
    <w:p w14:paraId="30A536C7" w14:textId="4327C05D" w:rsidR="00A02994" w:rsidRPr="00A02994" w:rsidRDefault="00A02994" w:rsidP="00A02994">
      <w:pPr>
        <w:autoSpaceDE w:val="0"/>
        <w:autoSpaceDN w:val="0"/>
        <w:adjustRightInd w:val="0"/>
        <w:rPr>
          <w:rFonts w:ascii="Arial" w:hAnsi="Arial"/>
          <w:sz w:val="20"/>
          <w:szCs w:val="20"/>
        </w:rPr>
      </w:pPr>
      <w:r w:rsidRPr="00A02994">
        <w:rPr>
          <w:rFonts w:ascii="Arial" w:hAnsi="Arial"/>
          <w:sz w:val="20"/>
          <w:szCs w:val="20"/>
        </w:rPr>
        <w:t xml:space="preserve">STAT CTA to be performed prior to available </w:t>
      </w:r>
      <w:r w:rsidR="000B3462">
        <w:rPr>
          <w:rFonts w:ascii="Arial" w:hAnsi="Arial"/>
          <w:sz w:val="20"/>
          <w:szCs w:val="20"/>
        </w:rPr>
        <w:t>Creatinine</w:t>
      </w:r>
      <w:r w:rsidRPr="00A02994">
        <w:rPr>
          <w:rFonts w:ascii="Arial" w:hAnsi="Arial"/>
          <w:sz w:val="20"/>
          <w:szCs w:val="20"/>
        </w:rPr>
        <w:t xml:space="preserve"> </w:t>
      </w:r>
      <w:r w:rsidR="000B3462">
        <w:rPr>
          <w:rFonts w:ascii="Arial" w:hAnsi="Arial"/>
          <w:sz w:val="20"/>
          <w:szCs w:val="20"/>
        </w:rPr>
        <w:t>in</w:t>
      </w:r>
      <w:r w:rsidRPr="00A02994">
        <w:rPr>
          <w:rFonts w:ascii="Arial" w:hAnsi="Arial"/>
          <w:sz w:val="20"/>
          <w:szCs w:val="20"/>
        </w:rPr>
        <w:t xml:space="preserve"> patients presenting with suspected emergent large vessel occlusion. In patients with prior history of CKD consider delay until serum creatinine is av</w:t>
      </w:r>
      <w:r w:rsidR="004D134A">
        <w:rPr>
          <w:rFonts w:ascii="Arial" w:hAnsi="Arial"/>
          <w:sz w:val="20"/>
          <w:szCs w:val="20"/>
        </w:rPr>
        <w:t>ailable prior to performing CTA</w:t>
      </w:r>
    </w:p>
    <w:p w14:paraId="4D33365A" w14:textId="77777777" w:rsidR="00A02994" w:rsidRPr="00A02994" w:rsidRDefault="00A02994" w:rsidP="00A02994">
      <w:pPr>
        <w:autoSpaceDE w:val="0"/>
        <w:autoSpaceDN w:val="0"/>
        <w:adjustRightInd w:val="0"/>
        <w:rPr>
          <w:rFonts w:ascii="Arial" w:hAnsi="Arial"/>
          <w:sz w:val="20"/>
          <w:szCs w:val="20"/>
        </w:rPr>
      </w:pPr>
    </w:p>
    <w:p w14:paraId="40B8EE2A" w14:textId="77777777" w:rsidR="00A02994" w:rsidRPr="000E0960" w:rsidRDefault="00A02994" w:rsidP="00A02994">
      <w:pPr>
        <w:autoSpaceDE w:val="0"/>
        <w:autoSpaceDN w:val="0"/>
        <w:adjustRightInd w:val="0"/>
        <w:rPr>
          <w:rFonts w:ascii="Arial" w:hAnsi="Arial"/>
          <w:i/>
          <w:sz w:val="20"/>
          <w:szCs w:val="20"/>
        </w:rPr>
      </w:pPr>
      <w:r w:rsidRPr="000E0960">
        <w:rPr>
          <w:rFonts w:ascii="Arial" w:hAnsi="Arial"/>
          <w:i/>
          <w:sz w:val="20"/>
          <w:szCs w:val="20"/>
        </w:rPr>
        <w:t>Note: Lima et al. reported 575 consecutive acute s</w:t>
      </w:r>
      <w:r w:rsidR="000E0960" w:rsidRPr="000E0960">
        <w:rPr>
          <w:rFonts w:ascii="Arial" w:hAnsi="Arial"/>
          <w:i/>
          <w:sz w:val="20"/>
          <w:szCs w:val="20"/>
        </w:rPr>
        <w:t>troke patients who received con</w:t>
      </w:r>
      <w:r w:rsidRPr="000E0960">
        <w:rPr>
          <w:rFonts w:ascii="Arial" w:hAnsi="Arial"/>
          <w:i/>
          <w:sz w:val="20"/>
          <w:szCs w:val="20"/>
        </w:rPr>
        <w:t>tr</w:t>
      </w:r>
      <w:r w:rsidR="000E0960" w:rsidRPr="000E0960">
        <w:rPr>
          <w:rFonts w:ascii="Arial" w:hAnsi="Arial"/>
          <w:i/>
          <w:sz w:val="20"/>
          <w:szCs w:val="20"/>
        </w:rPr>
        <w:t>ast, only 5% developed CIN (vs.</w:t>
      </w:r>
      <w:r w:rsidRPr="000E0960">
        <w:rPr>
          <w:rFonts w:ascii="Arial" w:hAnsi="Arial"/>
          <w:i/>
          <w:sz w:val="20"/>
          <w:szCs w:val="20"/>
        </w:rPr>
        <w:t>10% in the non-exposed cohort of 343 patients)</w:t>
      </w:r>
    </w:p>
    <w:p w14:paraId="1195A870" w14:textId="77777777" w:rsidR="00A02994" w:rsidRPr="00A02994" w:rsidRDefault="00A02994" w:rsidP="00A02994">
      <w:pPr>
        <w:autoSpaceDE w:val="0"/>
        <w:autoSpaceDN w:val="0"/>
        <w:adjustRightInd w:val="0"/>
        <w:rPr>
          <w:rFonts w:ascii="Arial" w:hAnsi="Arial"/>
          <w:sz w:val="20"/>
          <w:szCs w:val="20"/>
        </w:rPr>
      </w:pPr>
    </w:p>
    <w:p w14:paraId="356B88BC" w14:textId="77777777" w:rsidR="0015776B" w:rsidRPr="000E0960" w:rsidRDefault="00A02994" w:rsidP="00A02994">
      <w:pPr>
        <w:autoSpaceDE w:val="0"/>
        <w:autoSpaceDN w:val="0"/>
        <w:adjustRightInd w:val="0"/>
        <w:rPr>
          <w:rFonts w:ascii="Arial" w:hAnsi="Arial"/>
          <w:i/>
          <w:sz w:val="20"/>
          <w:szCs w:val="20"/>
        </w:rPr>
      </w:pPr>
      <w:r w:rsidRPr="000E0960">
        <w:rPr>
          <w:rFonts w:ascii="Arial" w:hAnsi="Arial"/>
          <w:i/>
          <w:sz w:val="20"/>
          <w:szCs w:val="20"/>
        </w:rPr>
        <w:t>Please see Appendix A for a brief literature review regarding CTA in acute stroke and the incidence of contrast induced nephropathy.</w:t>
      </w:r>
    </w:p>
    <w:p w14:paraId="7969690A" w14:textId="77777777" w:rsidR="0015776B" w:rsidRPr="0015776B" w:rsidRDefault="0015776B" w:rsidP="0015776B">
      <w:pPr>
        <w:autoSpaceDE w:val="0"/>
        <w:autoSpaceDN w:val="0"/>
        <w:adjustRightInd w:val="0"/>
        <w:ind w:left="540" w:hanging="180"/>
        <w:rPr>
          <w:rFonts w:ascii="Arial" w:hAnsi="Arial"/>
          <w:sz w:val="20"/>
          <w:szCs w:val="20"/>
        </w:rPr>
      </w:pPr>
    </w:p>
    <w:p w14:paraId="5BEF8F2E" w14:textId="77777777" w:rsidR="0015776B" w:rsidRPr="0015776B" w:rsidRDefault="0015776B" w:rsidP="0015776B">
      <w:pPr>
        <w:autoSpaceDE w:val="0"/>
        <w:autoSpaceDN w:val="0"/>
        <w:adjustRightInd w:val="0"/>
        <w:rPr>
          <w:rFonts w:ascii="Arial" w:hAnsi="Arial"/>
          <w:b/>
          <w:sz w:val="20"/>
          <w:szCs w:val="20"/>
        </w:rPr>
      </w:pPr>
      <w:r w:rsidRPr="0015776B">
        <w:rPr>
          <w:rFonts w:ascii="Arial" w:hAnsi="Arial"/>
          <w:b/>
          <w:sz w:val="20"/>
          <w:szCs w:val="20"/>
        </w:rPr>
        <w:t xml:space="preserve">F. </w:t>
      </w:r>
      <w:r w:rsidR="000E0960" w:rsidRPr="000E0960">
        <w:rPr>
          <w:rFonts w:ascii="Arial" w:hAnsi="Arial"/>
          <w:b/>
          <w:sz w:val="20"/>
          <w:szCs w:val="20"/>
        </w:rPr>
        <w:t>Decision triaged for IA</w:t>
      </w:r>
      <w:r w:rsidRPr="0015776B">
        <w:rPr>
          <w:rFonts w:ascii="Arial" w:hAnsi="Arial"/>
          <w:b/>
          <w:sz w:val="20"/>
          <w:szCs w:val="20"/>
        </w:rPr>
        <w:t xml:space="preserve">: </w:t>
      </w:r>
    </w:p>
    <w:p w14:paraId="1054BCF1" w14:textId="40C28FC3" w:rsidR="000E0960" w:rsidRPr="000E0960" w:rsidRDefault="000E0960" w:rsidP="000E0960">
      <w:pPr>
        <w:pStyle w:val="ListParagraph"/>
        <w:numPr>
          <w:ilvl w:val="0"/>
          <w:numId w:val="39"/>
        </w:numPr>
        <w:autoSpaceDE w:val="0"/>
        <w:autoSpaceDN w:val="0"/>
        <w:adjustRightInd w:val="0"/>
        <w:rPr>
          <w:rFonts w:ascii="Arial" w:hAnsi="Arial"/>
          <w:sz w:val="20"/>
        </w:rPr>
      </w:pPr>
      <w:r w:rsidRPr="000E0960">
        <w:rPr>
          <w:rFonts w:ascii="Arial" w:hAnsi="Arial"/>
          <w:sz w:val="20"/>
        </w:rPr>
        <w:t xml:space="preserve">Neurointerventional confirms case with </w:t>
      </w:r>
      <w:r w:rsidRPr="000B3462">
        <w:rPr>
          <w:rFonts w:ascii="Arial" w:hAnsi="Arial"/>
          <w:sz w:val="20"/>
        </w:rPr>
        <w:t>angio</w:t>
      </w:r>
      <w:r w:rsidR="004D134A" w:rsidRPr="000B3462">
        <w:rPr>
          <w:rFonts w:ascii="Arial" w:hAnsi="Arial"/>
          <w:sz w:val="20"/>
        </w:rPr>
        <w:t xml:space="preserve"> </w:t>
      </w:r>
      <w:r w:rsidRPr="000E0960">
        <w:rPr>
          <w:rFonts w:ascii="Arial" w:hAnsi="Arial"/>
          <w:sz w:val="20"/>
        </w:rPr>
        <w:t>team. A rapid response is critical.</w:t>
      </w:r>
    </w:p>
    <w:p w14:paraId="1DE12C3D" w14:textId="77777777" w:rsidR="000E0960" w:rsidRPr="000E0960" w:rsidRDefault="000E0960" w:rsidP="000E0960">
      <w:pPr>
        <w:pStyle w:val="ListParagraph"/>
        <w:numPr>
          <w:ilvl w:val="0"/>
          <w:numId w:val="39"/>
        </w:numPr>
        <w:autoSpaceDE w:val="0"/>
        <w:autoSpaceDN w:val="0"/>
        <w:adjustRightInd w:val="0"/>
        <w:rPr>
          <w:rFonts w:ascii="Arial" w:hAnsi="Arial"/>
          <w:sz w:val="20"/>
        </w:rPr>
      </w:pPr>
      <w:r w:rsidRPr="000E0960">
        <w:rPr>
          <w:rFonts w:ascii="Arial" w:hAnsi="Arial"/>
          <w:sz w:val="20"/>
        </w:rPr>
        <w:t>Anesthesia team activated by Neurointe</w:t>
      </w:r>
      <w:r w:rsidR="004928EE">
        <w:rPr>
          <w:rFonts w:ascii="Arial" w:hAnsi="Arial"/>
          <w:sz w:val="20"/>
        </w:rPr>
        <w:t>rventional Attending. The proce</w:t>
      </w:r>
      <w:r w:rsidRPr="000E0960">
        <w:rPr>
          <w:rFonts w:ascii="Arial" w:hAnsi="Arial"/>
          <w:sz w:val="20"/>
        </w:rPr>
        <w:t>dure will proceed as first intention under conscious sedation with initial monitoring by Radiology nursing to bridge</w:t>
      </w:r>
      <w:r w:rsidR="004928EE">
        <w:rPr>
          <w:rFonts w:ascii="Arial" w:hAnsi="Arial"/>
          <w:sz w:val="20"/>
        </w:rPr>
        <w:t xml:space="preserve"> any potential delay in Anesthe</w:t>
      </w:r>
      <w:r w:rsidRPr="000E0960">
        <w:rPr>
          <w:rFonts w:ascii="Arial" w:hAnsi="Arial"/>
          <w:sz w:val="20"/>
        </w:rPr>
        <w:t>sia team arrival. A rapid response is critical.</w:t>
      </w:r>
    </w:p>
    <w:p w14:paraId="626AECF6" w14:textId="77777777" w:rsidR="000E0960" w:rsidRPr="000E0960" w:rsidRDefault="000E0960" w:rsidP="000E0960">
      <w:pPr>
        <w:pStyle w:val="ListParagraph"/>
        <w:numPr>
          <w:ilvl w:val="0"/>
          <w:numId w:val="39"/>
        </w:numPr>
        <w:autoSpaceDE w:val="0"/>
        <w:autoSpaceDN w:val="0"/>
        <w:adjustRightInd w:val="0"/>
        <w:rPr>
          <w:rFonts w:ascii="Arial" w:hAnsi="Arial"/>
          <w:sz w:val="20"/>
        </w:rPr>
      </w:pPr>
      <w:r w:rsidRPr="000E0960">
        <w:rPr>
          <w:rFonts w:ascii="Arial" w:hAnsi="Arial"/>
          <w:sz w:val="20"/>
        </w:rPr>
        <w:t xml:space="preserve">Stroke Fellow activates Critical Care Resource Nurse (Pager 4771) to help mobilize patient to </w:t>
      </w:r>
      <w:r w:rsidRPr="000B3462">
        <w:rPr>
          <w:rFonts w:ascii="Arial" w:hAnsi="Arial"/>
          <w:sz w:val="20"/>
        </w:rPr>
        <w:t>angio</w:t>
      </w:r>
      <w:r w:rsidRPr="000E0960">
        <w:rPr>
          <w:rFonts w:ascii="Arial" w:hAnsi="Arial"/>
          <w:sz w:val="20"/>
        </w:rPr>
        <w:t xml:space="preserve"> suite.</w:t>
      </w:r>
    </w:p>
    <w:p w14:paraId="3B117A2D" w14:textId="0377538B" w:rsidR="000E0960" w:rsidRPr="000E0960" w:rsidRDefault="000E0960" w:rsidP="000B3462">
      <w:pPr>
        <w:pStyle w:val="ListParagraph"/>
        <w:numPr>
          <w:ilvl w:val="0"/>
          <w:numId w:val="39"/>
        </w:numPr>
        <w:autoSpaceDE w:val="0"/>
        <w:autoSpaceDN w:val="0"/>
        <w:adjustRightInd w:val="0"/>
        <w:rPr>
          <w:rFonts w:ascii="Arial" w:hAnsi="Arial"/>
          <w:sz w:val="20"/>
        </w:rPr>
      </w:pPr>
      <w:r w:rsidRPr="000E0960">
        <w:rPr>
          <w:rFonts w:ascii="Arial" w:hAnsi="Arial"/>
          <w:sz w:val="20"/>
        </w:rPr>
        <w:t>In parallel, Stroke Fellow, Stroke Resident or Stroke Attending obtains</w:t>
      </w:r>
      <w:r w:rsidR="004D134A">
        <w:rPr>
          <w:rFonts w:ascii="Arial" w:hAnsi="Arial"/>
          <w:sz w:val="20"/>
        </w:rPr>
        <w:t xml:space="preserve"> procedure consent with patient/patient family.</w:t>
      </w:r>
      <w:r w:rsidRPr="000E0960">
        <w:rPr>
          <w:rFonts w:ascii="Arial" w:hAnsi="Arial"/>
          <w:sz w:val="20"/>
        </w:rPr>
        <w:t xml:space="preserve"> Probability of opening blood vessel 50-80%. Opening blood vessel </w:t>
      </w:r>
      <w:r w:rsidR="004D134A">
        <w:rPr>
          <w:rFonts w:ascii="Arial" w:hAnsi="Arial"/>
          <w:sz w:val="20"/>
        </w:rPr>
        <w:t>does not necessarily improve ex</w:t>
      </w:r>
      <w:r w:rsidRPr="000E0960">
        <w:rPr>
          <w:rFonts w:ascii="Arial" w:hAnsi="Arial"/>
          <w:sz w:val="20"/>
        </w:rPr>
        <w:t>am if tissue is infarcted. Risks include: stroke, intracranial hemorrhage (up to 10%), death, failure of intervention, blood vessel injury, groin hematoma, contrast nephropathy, need to</w:t>
      </w:r>
      <w:r w:rsidR="004D134A">
        <w:rPr>
          <w:rFonts w:ascii="Arial" w:hAnsi="Arial"/>
          <w:sz w:val="20"/>
        </w:rPr>
        <w:t xml:space="preserve"> convert to general </w:t>
      </w:r>
      <w:r w:rsidR="000B3462">
        <w:rPr>
          <w:rFonts w:ascii="Arial" w:hAnsi="Arial"/>
          <w:sz w:val="20"/>
        </w:rPr>
        <w:t>anesthesia,</w:t>
      </w:r>
      <w:r w:rsidRPr="000E0960">
        <w:rPr>
          <w:rFonts w:ascii="Arial" w:hAnsi="Arial"/>
          <w:sz w:val="20"/>
        </w:rPr>
        <w:t xml:space="preserve"> </w:t>
      </w:r>
      <w:r w:rsidR="000B3462" w:rsidRPr="000B3462">
        <w:rPr>
          <w:rFonts w:ascii="Arial" w:hAnsi="Arial"/>
          <w:sz w:val="20"/>
        </w:rPr>
        <w:t>radial artery injury, pseudoaneurysm, need for additional procedures, myocardial injury</w:t>
      </w:r>
      <w:r w:rsidR="000B3462">
        <w:rPr>
          <w:rFonts w:ascii="Arial" w:hAnsi="Arial"/>
          <w:sz w:val="20"/>
        </w:rPr>
        <w:t>.</w:t>
      </w:r>
    </w:p>
    <w:p w14:paraId="2888DDE6" w14:textId="77777777" w:rsidR="000E0960" w:rsidRPr="000E0960" w:rsidRDefault="000E0960" w:rsidP="000E0960">
      <w:pPr>
        <w:autoSpaceDE w:val="0"/>
        <w:autoSpaceDN w:val="0"/>
        <w:adjustRightInd w:val="0"/>
        <w:rPr>
          <w:rFonts w:ascii="Arial" w:hAnsi="Arial"/>
          <w:sz w:val="20"/>
        </w:rPr>
      </w:pPr>
    </w:p>
    <w:p w14:paraId="25B59A52" w14:textId="77777777" w:rsidR="000E0960" w:rsidRPr="000E0960" w:rsidRDefault="000E0960" w:rsidP="000E0960">
      <w:pPr>
        <w:autoSpaceDE w:val="0"/>
        <w:autoSpaceDN w:val="0"/>
        <w:adjustRightInd w:val="0"/>
        <w:rPr>
          <w:rFonts w:ascii="Arial" w:hAnsi="Arial"/>
          <w:i/>
          <w:sz w:val="20"/>
        </w:rPr>
      </w:pPr>
      <w:r w:rsidRPr="000E0960">
        <w:rPr>
          <w:rFonts w:ascii="Arial" w:hAnsi="Arial"/>
          <w:i/>
          <w:sz w:val="20"/>
        </w:rPr>
        <w:t>Note: CT-to-g</w:t>
      </w:r>
      <w:r w:rsidR="004D134A">
        <w:rPr>
          <w:rFonts w:ascii="Arial" w:hAnsi="Arial"/>
          <w:i/>
          <w:sz w:val="20"/>
        </w:rPr>
        <w:t>roin times in EXTEND-IA 93 mins</w:t>
      </w:r>
      <w:r w:rsidRPr="000E0960">
        <w:rPr>
          <w:rFonts w:ascii="Arial" w:hAnsi="Arial"/>
          <w:i/>
          <w:sz w:val="20"/>
        </w:rPr>
        <w:t xml:space="preserve"> SWIFT PRIME 58 mins and ESCAPE 51 mins.</w:t>
      </w:r>
    </w:p>
    <w:p w14:paraId="42EE067E" w14:textId="77777777" w:rsidR="000E0960" w:rsidRPr="000E0960" w:rsidRDefault="000E0960" w:rsidP="000E0960">
      <w:pPr>
        <w:autoSpaceDE w:val="0"/>
        <w:autoSpaceDN w:val="0"/>
        <w:adjustRightInd w:val="0"/>
        <w:rPr>
          <w:rFonts w:ascii="Arial" w:hAnsi="Arial"/>
          <w:i/>
          <w:sz w:val="20"/>
        </w:rPr>
      </w:pPr>
    </w:p>
    <w:p w14:paraId="407BED49" w14:textId="77777777" w:rsidR="000E0960" w:rsidRPr="000E0960" w:rsidRDefault="000E0960" w:rsidP="000E0960">
      <w:pPr>
        <w:autoSpaceDE w:val="0"/>
        <w:autoSpaceDN w:val="0"/>
        <w:adjustRightInd w:val="0"/>
        <w:rPr>
          <w:rFonts w:ascii="Arial" w:hAnsi="Arial"/>
          <w:sz w:val="20"/>
        </w:rPr>
      </w:pPr>
      <w:r w:rsidRPr="000E0960">
        <w:rPr>
          <w:rFonts w:ascii="Arial" w:hAnsi="Arial"/>
          <w:i/>
          <w:sz w:val="20"/>
        </w:rPr>
        <w:t>Note: Only 9% of endovascular treatment patients received general anesthesia in ESCAPE</w:t>
      </w:r>
      <w:r w:rsidRPr="000E0960">
        <w:rPr>
          <w:rFonts w:ascii="Arial" w:hAnsi="Arial"/>
          <w:sz w:val="20"/>
        </w:rPr>
        <w:t>.</w:t>
      </w:r>
    </w:p>
    <w:p w14:paraId="6D4AD75E" w14:textId="77777777" w:rsidR="000E0960" w:rsidRPr="000E0960" w:rsidRDefault="000E0960" w:rsidP="000E0960">
      <w:pPr>
        <w:autoSpaceDE w:val="0"/>
        <w:autoSpaceDN w:val="0"/>
        <w:adjustRightInd w:val="0"/>
        <w:rPr>
          <w:rFonts w:ascii="Arial" w:hAnsi="Arial"/>
          <w:sz w:val="20"/>
        </w:rPr>
      </w:pPr>
    </w:p>
    <w:p w14:paraId="6B3526C9" w14:textId="77777777" w:rsidR="000E0960" w:rsidRPr="000E0960" w:rsidRDefault="000E0960" w:rsidP="000E0960">
      <w:pPr>
        <w:pStyle w:val="ListParagraph"/>
        <w:numPr>
          <w:ilvl w:val="0"/>
          <w:numId w:val="40"/>
        </w:numPr>
        <w:autoSpaceDE w:val="0"/>
        <w:autoSpaceDN w:val="0"/>
        <w:adjustRightInd w:val="0"/>
        <w:rPr>
          <w:rFonts w:ascii="Arial" w:hAnsi="Arial"/>
          <w:sz w:val="20"/>
        </w:rPr>
      </w:pPr>
      <w:r w:rsidRPr="000E0960">
        <w:rPr>
          <w:rFonts w:ascii="Arial" w:hAnsi="Arial"/>
          <w:sz w:val="20"/>
        </w:rPr>
        <w:t>Blood pressure goal: if s/p IV rt-PA, S</w:t>
      </w:r>
      <w:r w:rsidR="004D134A">
        <w:rPr>
          <w:rFonts w:ascii="Arial" w:hAnsi="Arial"/>
          <w:sz w:val="20"/>
        </w:rPr>
        <w:t>BP goal 150-180, DBP goal &lt; 105</w:t>
      </w:r>
      <w:r w:rsidRPr="000E0960">
        <w:rPr>
          <w:rFonts w:ascii="Arial" w:hAnsi="Arial"/>
          <w:sz w:val="20"/>
        </w:rPr>
        <w:t>. Otherwise</w:t>
      </w:r>
      <w:r w:rsidR="004D134A">
        <w:rPr>
          <w:rFonts w:ascii="Arial" w:hAnsi="Arial"/>
          <w:sz w:val="20"/>
        </w:rPr>
        <w:t>,</w:t>
      </w:r>
      <w:r w:rsidRPr="000E0960">
        <w:rPr>
          <w:rFonts w:ascii="Arial" w:hAnsi="Arial"/>
          <w:sz w:val="20"/>
        </w:rPr>
        <w:t xml:space="preserve"> SBP goal 140-200 mm Hg pre-recanalization.</w:t>
      </w:r>
    </w:p>
    <w:p w14:paraId="711DCDC0" w14:textId="77777777" w:rsidR="0015776B" w:rsidRPr="0015776B" w:rsidRDefault="0015776B" w:rsidP="0015776B">
      <w:pPr>
        <w:autoSpaceDE w:val="0"/>
        <w:autoSpaceDN w:val="0"/>
        <w:adjustRightInd w:val="0"/>
        <w:rPr>
          <w:rFonts w:ascii="Arial" w:hAnsi="Arial"/>
        </w:rPr>
      </w:pPr>
    </w:p>
    <w:p w14:paraId="1F6B2BC6" w14:textId="77777777" w:rsidR="0015776B" w:rsidRPr="0015776B" w:rsidRDefault="0015776B" w:rsidP="000E0960">
      <w:pPr>
        <w:numPr>
          <w:ilvl w:val="0"/>
          <w:numId w:val="15"/>
        </w:numPr>
        <w:autoSpaceDE w:val="0"/>
        <w:autoSpaceDN w:val="0"/>
        <w:adjustRightInd w:val="0"/>
        <w:rPr>
          <w:rFonts w:ascii="Arial" w:hAnsi="Arial"/>
          <w:b/>
          <w:sz w:val="20"/>
          <w:szCs w:val="20"/>
        </w:rPr>
      </w:pPr>
      <w:r w:rsidRPr="0015776B">
        <w:rPr>
          <w:rFonts w:ascii="Arial" w:hAnsi="Arial"/>
          <w:b/>
          <w:sz w:val="20"/>
          <w:szCs w:val="20"/>
        </w:rPr>
        <w:t xml:space="preserve">G. </w:t>
      </w:r>
      <w:r w:rsidR="000E0960" w:rsidRPr="000E0960">
        <w:rPr>
          <w:rFonts w:ascii="Arial" w:hAnsi="Arial"/>
          <w:b/>
          <w:sz w:val="20"/>
          <w:szCs w:val="20"/>
        </w:rPr>
        <w:t>Procedure</w:t>
      </w:r>
      <w:r w:rsidRPr="0015776B">
        <w:rPr>
          <w:rFonts w:ascii="Arial" w:hAnsi="Arial"/>
          <w:b/>
          <w:sz w:val="20"/>
          <w:szCs w:val="20"/>
        </w:rPr>
        <w:t xml:space="preserve"> </w:t>
      </w:r>
    </w:p>
    <w:p w14:paraId="6D7B097E" w14:textId="77777777" w:rsidR="000E0960" w:rsidRPr="000E0960" w:rsidRDefault="000E0960" w:rsidP="000E0960">
      <w:pPr>
        <w:pStyle w:val="ListParagraph"/>
        <w:numPr>
          <w:ilvl w:val="0"/>
          <w:numId w:val="40"/>
        </w:numPr>
        <w:autoSpaceDE w:val="0"/>
        <w:autoSpaceDN w:val="0"/>
        <w:adjustRightInd w:val="0"/>
        <w:rPr>
          <w:rFonts w:ascii="Arial" w:hAnsi="Arial"/>
          <w:sz w:val="20"/>
          <w:szCs w:val="20"/>
        </w:rPr>
      </w:pPr>
      <w:r w:rsidRPr="000E0960">
        <w:rPr>
          <w:rFonts w:ascii="Arial" w:hAnsi="Arial"/>
          <w:sz w:val="20"/>
          <w:szCs w:val="20"/>
        </w:rPr>
        <w:t xml:space="preserve">Sheath (5-8F) inserted in femoral artery, sheath side-arm connected to a-line monitoring or continuous heparinized saline flush (2000 units/liter NS, 30cc/hour). </w:t>
      </w:r>
    </w:p>
    <w:p w14:paraId="24281A51" w14:textId="77777777" w:rsidR="000E0960" w:rsidRPr="000E0960" w:rsidRDefault="000E0960" w:rsidP="000E0960">
      <w:pPr>
        <w:pStyle w:val="ListParagraph"/>
        <w:numPr>
          <w:ilvl w:val="0"/>
          <w:numId w:val="40"/>
        </w:numPr>
        <w:autoSpaceDE w:val="0"/>
        <w:autoSpaceDN w:val="0"/>
        <w:adjustRightInd w:val="0"/>
        <w:rPr>
          <w:rFonts w:ascii="Arial" w:hAnsi="Arial"/>
          <w:sz w:val="20"/>
          <w:szCs w:val="20"/>
        </w:rPr>
      </w:pPr>
      <w:r w:rsidRPr="000E0960">
        <w:rPr>
          <w:rFonts w:ascii="Arial" w:hAnsi="Arial"/>
          <w:sz w:val="20"/>
          <w:szCs w:val="20"/>
        </w:rPr>
        <w:t>Heparin bolus will be at the discretion of the interventionalist.</w:t>
      </w:r>
      <w:r>
        <w:rPr>
          <w:rFonts w:ascii="Arial" w:hAnsi="Arial"/>
          <w:sz w:val="20"/>
          <w:szCs w:val="20"/>
        </w:rPr>
        <w:t xml:space="preserve"> </w:t>
      </w:r>
      <w:r w:rsidRPr="000E0960">
        <w:rPr>
          <w:rFonts w:ascii="Arial" w:hAnsi="Arial"/>
          <w:sz w:val="20"/>
          <w:szCs w:val="20"/>
        </w:rPr>
        <w:t>(Ex: IMS III 2000 units of heparin bolus, then 450 units/hour heparin, to d/c at end of procedure)</w:t>
      </w:r>
    </w:p>
    <w:p w14:paraId="31864C80" w14:textId="77777777" w:rsidR="000E0960" w:rsidRPr="000E0960" w:rsidRDefault="000E0960" w:rsidP="000E0960">
      <w:pPr>
        <w:pStyle w:val="ListParagraph"/>
        <w:numPr>
          <w:ilvl w:val="0"/>
          <w:numId w:val="40"/>
        </w:numPr>
        <w:autoSpaceDE w:val="0"/>
        <w:autoSpaceDN w:val="0"/>
        <w:adjustRightInd w:val="0"/>
        <w:rPr>
          <w:rFonts w:ascii="Arial" w:hAnsi="Arial"/>
          <w:sz w:val="20"/>
          <w:szCs w:val="20"/>
        </w:rPr>
      </w:pPr>
      <w:r w:rsidRPr="000E0960">
        <w:rPr>
          <w:rFonts w:ascii="Arial" w:hAnsi="Arial"/>
          <w:sz w:val="20"/>
          <w:szCs w:val="20"/>
        </w:rPr>
        <w:t xml:space="preserve">Symptomatic artery cannulated and imaged. </w:t>
      </w:r>
      <w:r>
        <w:rPr>
          <w:rFonts w:ascii="Arial" w:hAnsi="Arial"/>
          <w:sz w:val="20"/>
          <w:szCs w:val="20"/>
        </w:rPr>
        <w:t>If carotid artery occlusion sus</w:t>
      </w:r>
      <w:r w:rsidRPr="000E0960">
        <w:rPr>
          <w:rFonts w:ascii="Arial" w:hAnsi="Arial"/>
          <w:sz w:val="20"/>
          <w:szCs w:val="20"/>
        </w:rPr>
        <w:t xml:space="preserve">pected or confirmed, contralateral carotid or </w:t>
      </w:r>
      <w:r>
        <w:rPr>
          <w:rFonts w:ascii="Arial" w:hAnsi="Arial"/>
          <w:sz w:val="20"/>
          <w:szCs w:val="20"/>
        </w:rPr>
        <w:t>vertebral artery can be interro</w:t>
      </w:r>
      <w:r w:rsidRPr="000E0960">
        <w:rPr>
          <w:rFonts w:ascii="Arial" w:hAnsi="Arial"/>
          <w:sz w:val="20"/>
          <w:szCs w:val="20"/>
        </w:rPr>
        <w:t>gated for collateral flow.</w:t>
      </w:r>
    </w:p>
    <w:p w14:paraId="08319163" w14:textId="77777777" w:rsidR="000E0960" w:rsidRPr="004928EE" w:rsidRDefault="000E0960" w:rsidP="004928EE">
      <w:pPr>
        <w:pStyle w:val="ListParagraph"/>
        <w:numPr>
          <w:ilvl w:val="0"/>
          <w:numId w:val="40"/>
        </w:numPr>
        <w:autoSpaceDE w:val="0"/>
        <w:autoSpaceDN w:val="0"/>
        <w:adjustRightInd w:val="0"/>
        <w:rPr>
          <w:rFonts w:ascii="Arial" w:hAnsi="Arial"/>
          <w:sz w:val="20"/>
          <w:szCs w:val="20"/>
        </w:rPr>
      </w:pPr>
      <w:r w:rsidRPr="004928EE">
        <w:rPr>
          <w:rFonts w:ascii="Arial" w:hAnsi="Arial"/>
          <w:sz w:val="20"/>
          <w:szCs w:val="20"/>
        </w:rPr>
        <w:lastRenderedPageBreak/>
        <w:t>If no occlusion identified in the symptomatic vascular territory, no device no</w:t>
      </w:r>
      <w:r w:rsidR="004928EE">
        <w:rPr>
          <w:rFonts w:ascii="Arial" w:hAnsi="Arial"/>
          <w:sz w:val="20"/>
          <w:szCs w:val="20"/>
        </w:rPr>
        <w:t xml:space="preserve">r IA tPA will be administered. If thrombus is present, </w:t>
      </w:r>
      <w:r w:rsidRPr="004928EE">
        <w:rPr>
          <w:rFonts w:ascii="Arial" w:hAnsi="Arial"/>
          <w:sz w:val="20"/>
          <w:szCs w:val="20"/>
        </w:rPr>
        <w:t>the device will be selected at the discretion of the neurointer</w:t>
      </w:r>
      <w:r w:rsidR="004928EE">
        <w:rPr>
          <w:rFonts w:ascii="Arial" w:hAnsi="Arial"/>
          <w:sz w:val="20"/>
          <w:szCs w:val="20"/>
        </w:rPr>
        <w:t>ventionalist. Some preferred de</w:t>
      </w:r>
      <w:r w:rsidRPr="004928EE">
        <w:rPr>
          <w:rFonts w:ascii="Arial" w:hAnsi="Arial"/>
          <w:sz w:val="20"/>
          <w:szCs w:val="20"/>
        </w:rPr>
        <w:t>vices may include:</w:t>
      </w:r>
    </w:p>
    <w:p w14:paraId="70A32FFE" w14:textId="2F1192E9" w:rsidR="000E0960" w:rsidRPr="004928EE" w:rsidRDefault="000E0960" w:rsidP="004928EE">
      <w:pPr>
        <w:pStyle w:val="ListParagraph"/>
        <w:numPr>
          <w:ilvl w:val="1"/>
          <w:numId w:val="40"/>
        </w:numPr>
        <w:autoSpaceDE w:val="0"/>
        <w:autoSpaceDN w:val="0"/>
        <w:adjustRightInd w:val="0"/>
        <w:rPr>
          <w:rFonts w:ascii="Arial" w:hAnsi="Arial"/>
          <w:sz w:val="20"/>
          <w:szCs w:val="20"/>
        </w:rPr>
      </w:pPr>
      <w:r w:rsidRPr="004928EE">
        <w:rPr>
          <w:rFonts w:ascii="Arial" w:hAnsi="Arial"/>
          <w:sz w:val="20"/>
          <w:szCs w:val="20"/>
        </w:rPr>
        <w:t>M1 occlusions –</w:t>
      </w:r>
      <w:r w:rsidR="00063D34">
        <w:rPr>
          <w:rFonts w:ascii="Arial" w:hAnsi="Arial"/>
          <w:sz w:val="20"/>
          <w:szCs w:val="20"/>
        </w:rPr>
        <w:t xml:space="preserve"> BCG + </w:t>
      </w:r>
      <w:r w:rsidRPr="004928EE">
        <w:rPr>
          <w:rFonts w:ascii="Arial" w:hAnsi="Arial"/>
          <w:sz w:val="20"/>
          <w:szCs w:val="20"/>
        </w:rPr>
        <w:t>Stent retriever or Aspiration</w:t>
      </w:r>
    </w:p>
    <w:p w14:paraId="3F7529D8" w14:textId="1D73B422" w:rsidR="000E0960" w:rsidRPr="004928EE" w:rsidRDefault="000E0960" w:rsidP="004928EE">
      <w:pPr>
        <w:pStyle w:val="ListParagraph"/>
        <w:numPr>
          <w:ilvl w:val="1"/>
          <w:numId w:val="40"/>
        </w:numPr>
        <w:autoSpaceDE w:val="0"/>
        <w:autoSpaceDN w:val="0"/>
        <w:adjustRightInd w:val="0"/>
        <w:rPr>
          <w:rFonts w:ascii="Arial" w:hAnsi="Arial"/>
          <w:sz w:val="20"/>
          <w:szCs w:val="20"/>
        </w:rPr>
      </w:pPr>
      <w:r w:rsidRPr="004928EE">
        <w:rPr>
          <w:rFonts w:ascii="Arial" w:hAnsi="Arial"/>
          <w:sz w:val="20"/>
          <w:szCs w:val="20"/>
        </w:rPr>
        <w:t>M2 occlusions (left hemispheric) –</w:t>
      </w:r>
      <w:r w:rsidR="00063D34" w:rsidRPr="00063D34">
        <w:rPr>
          <w:rFonts w:ascii="Arial" w:hAnsi="Arial"/>
          <w:sz w:val="20"/>
          <w:szCs w:val="20"/>
        </w:rPr>
        <w:t xml:space="preserve"> </w:t>
      </w:r>
      <w:r w:rsidR="00063D34">
        <w:rPr>
          <w:rFonts w:ascii="Arial" w:hAnsi="Arial"/>
          <w:sz w:val="20"/>
          <w:szCs w:val="20"/>
        </w:rPr>
        <w:t>BCG +</w:t>
      </w:r>
      <w:r w:rsidR="00063D34">
        <w:rPr>
          <w:rFonts w:ascii="Arial" w:hAnsi="Arial"/>
          <w:sz w:val="20"/>
          <w:szCs w:val="20"/>
        </w:rPr>
        <w:t xml:space="preserve"> </w:t>
      </w:r>
      <w:r w:rsidRPr="004928EE">
        <w:rPr>
          <w:rFonts w:ascii="Arial" w:hAnsi="Arial"/>
          <w:sz w:val="20"/>
          <w:szCs w:val="20"/>
        </w:rPr>
        <w:t>Stent retriever</w:t>
      </w:r>
    </w:p>
    <w:p w14:paraId="0CD32601" w14:textId="1E7804C5" w:rsidR="000E0960" w:rsidRPr="004928EE" w:rsidRDefault="000E0960" w:rsidP="00063D34">
      <w:pPr>
        <w:pStyle w:val="ListParagraph"/>
        <w:numPr>
          <w:ilvl w:val="1"/>
          <w:numId w:val="40"/>
        </w:numPr>
        <w:autoSpaceDE w:val="0"/>
        <w:autoSpaceDN w:val="0"/>
        <w:adjustRightInd w:val="0"/>
        <w:rPr>
          <w:rFonts w:ascii="Arial" w:hAnsi="Arial"/>
          <w:sz w:val="20"/>
          <w:szCs w:val="20"/>
        </w:rPr>
      </w:pPr>
      <w:r w:rsidRPr="004928EE">
        <w:rPr>
          <w:rFonts w:ascii="Arial" w:hAnsi="Arial"/>
          <w:sz w:val="20"/>
          <w:szCs w:val="20"/>
        </w:rPr>
        <w:t xml:space="preserve">Carotid terminus occlusions – </w:t>
      </w:r>
      <w:r w:rsidR="00063D34" w:rsidRPr="00063D34">
        <w:rPr>
          <w:rFonts w:ascii="Arial" w:hAnsi="Arial"/>
          <w:sz w:val="20"/>
          <w:szCs w:val="20"/>
        </w:rPr>
        <w:t>BCG +</w:t>
      </w:r>
      <w:r w:rsidR="00063D34">
        <w:rPr>
          <w:rFonts w:ascii="Arial" w:hAnsi="Arial"/>
          <w:sz w:val="20"/>
          <w:szCs w:val="20"/>
        </w:rPr>
        <w:t xml:space="preserve"> </w:t>
      </w:r>
      <w:r w:rsidRPr="004928EE">
        <w:rPr>
          <w:rFonts w:ascii="Arial" w:hAnsi="Arial"/>
          <w:sz w:val="20"/>
          <w:szCs w:val="20"/>
        </w:rPr>
        <w:t>Stent retriever or Aspiration</w:t>
      </w:r>
    </w:p>
    <w:p w14:paraId="1B65A25F" w14:textId="77777777" w:rsidR="000E0960" w:rsidRPr="004928EE" w:rsidRDefault="000E0960" w:rsidP="004928EE">
      <w:pPr>
        <w:pStyle w:val="ListParagraph"/>
        <w:numPr>
          <w:ilvl w:val="1"/>
          <w:numId w:val="40"/>
        </w:numPr>
        <w:autoSpaceDE w:val="0"/>
        <w:autoSpaceDN w:val="0"/>
        <w:adjustRightInd w:val="0"/>
        <w:rPr>
          <w:rFonts w:ascii="Arial" w:hAnsi="Arial"/>
          <w:sz w:val="20"/>
          <w:szCs w:val="20"/>
        </w:rPr>
      </w:pPr>
      <w:r w:rsidRPr="004928EE">
        <w:rPr>
          <w:rFonts w:ascii="Arial" w:hAnsi="Arial"/>
          <w:sz w:val="20"/>
          <w:szCs w:val="20"/>
        </w:rPr>
        <w:t>ICA bifurcation occlusion – Angioplasty +/- stent</w:t>
      </w:r>
    </w:p>
    <w:p w14:paraId="2512DE38" w14:textId="77777777" w:rsidR="004928EE" w:rsidRDefault="004928EE" w:rsidP="000E0960">
      <w:pPr>
        <w:autoSpaceDE w:val="0"/>
        <w:autoSpaceDN w:val="0"/>
        <w:adjustRightInd w:val="0"/>
        <w:rPr>
          <w:rFonts w:ascii="Arial" w:hAnsi="Arial"/>
          <w:i/>
          <w:sz w:val="20"/>
          <w:szCs w:val="20"/>
        </w:rPr>
      </w:pPr>
    </w:p>
    <w:p w14:paraId="5FE3DDAA" w14:textId="77777777" w:rsidR="000E0960" w:rsidRPr="004928EE" w:rsidRDefault="000E0960" w:rsidP="000E0960">
      <w:pPr>
        <w:autoSpaceDE w:val="0"/>
        <w:autoSpaceDN w:val="0"/>
        <w:adjustRightInd w:val="0"/>
        <w:rPr>
          <w:rFonts w:ascii="Arial" w:hAnsi="Arial"/>
          <w:i/>
          <w:sz w:val="20"/>
          <w:szCs w:val="20"/>
        </w:rPr>
      </w:pPr>
      <w:r w:rsidRPr="004928EE">
        <w:rPr>
          <w:rFonts w:ascii="Arial" w:hAnsi="Arial"/>
          <w:i/>
          <w:sz w:val="20"/>
          <w:szCs w:val="20"/>
        </w:rPr>
        <w:t>Note: Innovation of neurointerventional tools in acute stroke therapy is on-going. As such, new and novel tools not explicitly named in this document may be considered for use at the neurointerventionalist’s discretion.</w:t>
      </w:r>
    </w:p>
    <w:p w14:paraId="43BB9BFF" w14:textId="77777777" w:rsidR="000E0960" w:rsidRPr="000E0960" w:rsidRDefault="000E0960" w:rsidP="000E0960">
      <w:pPr>
        <w:autoSpaceDE w:val="0"/>
        <w:autoSpaceDN w:val="0"/>
        <w:adjustRightInd w:val="0"/>
        <w:rPr>
          <w:rFonts w:ascii="Arial" w:hAnsi="Arial"/>
          <w:sz w:val="20"/>
          <w:szCs w:val="20"/>
        </w:rPr>
      </w:pPr>
    </w:p>
    <w:p w14:paraId="0F5C6C4B" w14:textId="77777777" w:rsidR="000E0960" w:rsidRPr="004928EE" w:rsidRDefault="000E0960" w:rsidP="004928EE">
      <w:pPr>
        <w:pStyle w:val="ListParagraph"/>
        <w:numPr>
          <w:ilvl w:val="0"/>
          <w:numId w:val="41"/>
        </w:numPr>
        <w:autoSpaceDE w:val="0"/>
        <w:autoSpaceDN w:val="0"/>
        <w:adjustRightInd w:val="0"/>
        <w:rPr>
          <w:rFonts w:ascii="Arial" w:hAnsi="Arial"/>
          <w:sz w:val="20"/>
          <w:szCs w:val="20"/>
        </w:rPr>
      </w:pPr>
      <w:r w:rsidRPr="004928EE">
        <w:rPr>
          <w:rFonts w:ascii="Arial" w:hAnsi="Arial"/>
          <w:sz w:val="20"/>
          <w:szCs w:val="20"/>
        </w:rPr>
        <w:t>If the vessel cannot be recanalized after a reasonable trial, then</w:t>
      </w:r>
      <w:r w:rsidR="004928EE">
        <w:rPr>
          <w:rFonts w:ascii="Arial" w:hAnsi="Arial"/>
          <w:sz w:val="20"/>
          <w:szCs w:val="20"/>
        </w:rPr>
        <w:t xml:space="preserve"> the proce</w:t>
      </w:r>
      <w:r w:rsidRPr="004928EE">
        <w:rPr>
          <w:rFonts w:ascii="Arial" w:hAnsi="Arial"/>
          <w:sz w:val="20"/>
          <w:szCs w:val="20"/>
        </w:rPr>
        <w:t xml:space="preserve">dure may terminate at the discretion of the neurointerventionalist. </w:t>
      </w:r>
    </w:p>
    <w:p w14:paraId="67B326E0" w14:textId="77777777" w:rsidR="000E0960" w:rsidRPr="000E0960" w:rsidRDefault="000E0960" w:rsidP="000E0960">
      <w:pPr>
        <w:autoSpaceDE w:val="0"/>
        <w:autoSpaceDN w:val="0"/>
        <w:adjustRightInd w:val="0"/>
        <w:rPr>
          <w:rFonts w:ascii="Arial" w:hAnsi="Arial"/>
          <w:sz w:val="20"/>
          <w:szCs w:val="20"/>
        </w:rPr>
      </w:pPr>
    </w:p>
    <w:p w14:paraId="5EE750F7" w14:textId="77777777" w:rsidR="000E0960" w:rsidRPr="004928EE" w:rsidRDefault="000E0960" w:rsidP="000E0960">
      <w:pPr>
        <w:autoSpaceDE w:val="0"/>
        <w:autoSpaceDN w:val="0"/>
        <w:adjustRightInd w:val="0"/>
        <w:rPr>
          <w:rFonts w:ascii="Arial" w:hAnsi="Arial"/>
          <w:i/>
          <w:sz w:val="20"/>
          <w:szCs w:val="20"/>
        </w:rPr>
      </w:pPr>
      <w:r w:rsidRPr="004928EE">
        <w:rPr>
          <w:rFonts w:ascii="Arial" w:hAnsi="Arial"/>
          <w:i/>
          <w:sz w:val="20"/>
          <w:szCs w:val="20"/>
        </w:rPr>
        <w:t>Note: M2 occlusions were included in recent trials, 14% of treatment group in SWIFT PRIME, 11% in EXTEND-IA.</w:t>
      </w:r>
    </w:p>
    <w:p w14:paraId="6B19FBA7" w14:textId="77777777" w:rsidR="000E0960" w:rsidRPr="000E0960" w:rsidRDefault="000E0960" w:rsidP="000E0960">
      <w:pPr>
        <w:autoSpaceDE w:val="0"/>
        <w:autoSpaceDN w:val="0"/>
        <w:adjustRightInd w:val="0"/>
        <w:rPr>
          <w:rFonts w:ascii="Arial" w:hAnsi="Arial"/>
          <w:sz w:val="20"/>
          <w:szCs w:val="20"/>
        </w:rPr>
      </w:pPr>
    </w:p>
    <w:p w14:paraId="5ED83365" w14:textId="77777777" w:rsidR="000E0960" w:rsidRPr="004928EE" w:rsidRDefault="000E0960" w:rsidP="004928EE">
      <w:pPr>
        <w:autoSpaceDE w:val="0"/>
        <w:autoSpaceDN w:val="0"/>
        <w:adjustRightInd w:val="0"/>
        <w:rPr>
          <w:rFonts w:ascii="Arial" w:hAnsi="Arial"/>
          <w:sz w:val="20"/>
          <w:szCs w:val="20"/>
        </w:rPr>
      </w:pPr>
      <w:r w:rsidRPr="004928EE">
        <w:rPr>
          <w:rFonts w:ascii="Arial" w:hAnsi="Arial"/>
          <w:sz w:val="20"/>
          <w:szCs w:val="20"/>
        </w:rPr>
        <w:t xml:space="preserve">If tPA is chosen: </w:t>
      </w:r>
    </w:p>
    <w:p w14:paraId="2738A21A" w14:textId="20302ADC" w:rsidR="000E0960" w:rsidRPr="004928EE" w:rsidRDefault="000B3462" w:rsidP="004928EE">
      <w:pPr>
        <w:pStyle w:val="ListParagraph"/>
        <w:numPr>
          <w:ilvl w:val="0"/>
          <w:numId w:val="41"/>
        </w:numPr>
        <w:autoSpaceDE w:val="0"/>
        <w:autoSpaceDN w:val="0"/>
        <w:adjustRightInd w:val="0"/>
        <w:rPr>
          <w:rFonts w:ascii="Arial" w:hAnsi="Arial"/>
          <w:sz w:val="20"/>
          <w:szCs w:val="20"/>
        </w:rPr>
      </w:pPr>
      <w:r>
        <w:rPr>
          <w:rFonts w:ascii="Arial" w:hAnsi="Arial"/>
          <w:sz w:val="20"/>
          <w:szCs w:val="20"/>
        </w:rPr>
        <w:t>The rt-</w:t>
      </w:r>
      <w:r w:rsidR="000E0960" w:rsidRPr="004928EE">
        <w:rPr>
          <w:rFonts w:ascii="Arial" w:hAnsi="Arial"/>
          <w:sz w:val="20"/>
          <w:szCs w:val="20"/>
        </w:rPr>
        <w:t>PA concentration for IA administratio</w:t>
      </w:r>
      <w:r w:rsidR="004928EE">
        <w:rPr>
          <w:rFonts w:ascii="Arial" w:hAnsi="Arial"/>
          <w:sz w:val="20"/>
          <w:szCs w:val="20"/>
        </w:rPr>
        <w:t>n will be 1 mg/5 ml or 10 ml so</w:t>
      </w:r>
      <w:r w:rsidR="000E0960" w:rsidRPr="004928EE">
        <w:rPr>
          <w:rFonts w:ascii="Arial" w:hAnsi="Arial"/>
          <w:sz w:val="20"/>
          <w:szCs w:val="20"/>
        </w:rPr>
        <w:t>lution; maximum dose</w:t>
      </w:r>
      <w:r w:rsidR="004D134A">
        <w:rPr>
          <w:rFonts w:ascii="Arial" w:hAnsi="Arial"/>
          <w:sz w:val="20"/>
          <w:szCs w:val="20"/>
        </w:rPr>
        <w:t xml:space="preserve"> is 22 mg over 2 hours infusion</w:t>
      </w:r>
    </w:p>
    <w:p w14:paraId="42AF9550" w14:textId="77777777" w:rsidR="004928EE" w:rsidRDefault="004928EE" w:rsidP="004928EE">
      <w:pPr>
        <w:pStyle w:val="ListParagraph"/>
        <w:numPr>
          <w:ilvl w:val="0"/>
          <w:numId w:val="41"/>
        </w:numPr>
        <w:autoSpaceDE w:val="0"/>
        <w:autoSpaceDN w:val="0"/>
        <w:adjustRightInd w:val="0"/>
        <w:rPr>
          <w:rFonts w:ascii="Arial" w:hAnsi="Arial"/>
          <w:sz w:val="20"/>
          <w:szCs w:val="20"/>
        </w:rPr>
      </w:pPr>
      <w:r>
        <w:rPr>
          <w:rFonts w:ascii="Arial" w:hAnsi="Arial"/>
          <w:sz w:val="20"/>
          <w:szCs w:val="20"/>
        </w:rPr>
        <w:t>After microcatheter placement:</w:t>
      </w:r>
    </w:p>
    <w:p w14:paraId="64FFFE0B" w14:textId="77777777" w:rsidR="004928EE" w:rsidRDefault="000E0960" w:rsidP="004928EE">
      <w:pPr>
        <w:pStyle w:val="ListParagraph"/>
        <w:numPr>
          <w:ilvl w:val="1"/>
          <w:numId w:val="41"/>
        </w:numPr>
        <w:autoSpaceDE w:val="0"/>
        <w:autoSpaceDN w:val="0"/>
        <w:adjustRightInd w:val="0"/>
        <w:rPr>
          <w:rFonts w:ascii="Arial" w:hAnsi="Arial"/>
          <w:sz w:val="20"/>
          <w:szCs w:val="20"/>
        </w:rPr>
      </w:pPr>
      <w:r w:rsidRPr="004928EE">
        <w:rPr>
          <w:rFonts w:ascii="Arial" w:hAnsi="Arial"/>
          <w:sz w:val="20"/>
          <w:szCs w:val="20"/>
        </w:rPr>
        <w:t>1 mg of tPA wi</w:t>
      </w:r>
      <w:r w:rsidR="004928EE">
        <w:rPr>
          <w:rFonts w:ascii="Arial" w:hAnsi="Arial"/>
          <w:sz w:val="20"/>
          <w:szCs w:val="20"/>
        </w:rPr>
        <w:t>ll be hand injected at low pres</w:t>
      </w:r>
      <w:r w:rsidRPr="004928EE">
        <w:rPr>
          <w:rFonts w:ascii="Arial" w:hAnsi="Arial"/>
          <w:sz w:val="20"/>
          <w:szCs w:val="20"/>
        </w:rPr>
        <w:t xml:space="preserve">sure over 2 </w:t>
      </w:r>
      <w:r w:rsidR="004928EE">
        <w:rPr>
          <w:rFonts w:ascii="Arial" w:hAnsi="Arial"/>
          <w:sz w:val="20"/>
          <w:szCs w:val="20"/>
        </w:rPr>
        <w:t>minutes distal to the thrombus</w:t>
      </w:r>
    </w:p>
    <w:p w14:paraId="4BC1DFFC" w14:textId="77777777" w:rsidR="004928EE" w:rsidRDefault="000E0960" w:rsidP="004928EE">
      <w:pPr>
        <w:pStyle w:val="ListParagraph"/>
        <w:numPr>
          <w:ilvl w:val="1"/>
          <w:numId w:val="41"/>
        </w:numPr>
        <w:autoSpaceDE w:val="0"/>
        <w:autoSpaceDN w:val="0"/>
        <w:adjustRightInd w:val="0"/>
        <w:rPr>
          <w:rFonts w:ascii="Arial" w:hAnsi="Arial"/>
          <w:sz w:val="20"/>
          <w:szCs w:val="20"/>
        </w:rPr>
      </w:pPr>
      <w:r w:rsidRPr="004928EE">
        <w:rPr>
          <w:rFonts w:ascii="Arial" w:hAnsi="Arial"/>
          <w:sz w:val="20"/>
          <w:szCs w:val="20"/>
        </w:rPr>
        <w:t>A microcatheter contrast injection may be performed if the position is not clea</w:t>
      </w:r>
      <w:r w:rsidR="004928EE">
        <w:rPr>
          <w:rFonts w:ascii="Arial" w:hAnsi="Arial"/>
          <w:sz w:val="20"/>
          <w:szCs w:val="20"/>
        </w:rPr>
        <w:t>r</w:t>
      </w:r>
    </w:p>
    <w:p w14:paraId="67BAA747" w14:textId="77777777" w:rsidR="004928EE" w:rsidRDefault="004928EE" w:rsidP="004928EE">
      <w:pPr>
        <w:pStyle w:val="ListParagraph"/>
        <w:numPr>
          <w:ilvl w:val="1"/>
          <w:numId w:val="41"/>
        </w:numPr>
        <w:autoSpaceDE w:val="0"/>
        <w:autoSpaceDN w:val="0"/>
        <w:adjustRightInd w:val="0"/>
        <w:rPr>
          <w:rFonts w:ascii="Arial" w:hAnsi="Arial"/>
          <w:sz w:val="20"/>
          <w:szCs w:val="20"/>
        </w:rPr>
      </w:pPr>
      <w:r>
        <w:rPr>
          <w:rFonts w:ascii="Arial" w:hAnsi="Arial"/>
          <w:sz w:val="20"/>
          <w:szCs w:val="20"/>
        </w:rPr>
        <w:t>The microcatheter will be re</w:t>
      </w:r>
      <w:r w:rsidR="000E0960" w:rsidRPr="004928EE">
        <w:rPr>
          <w:rFonts w:ascii="Arial" w:hAnsi="Arial"/>
          <w:sz w:val="20"/>
          <w:szCs w:val="20"/>
        </w:rPr>
        <w:t>tracted just proximal into the proximal t</w:t>
      </w:r>
      <w:r>
        <w:rPr>
          <w:rFonts w:ascii="Arial" w:hAnsi="Arial"/>
          <w:sz w:val="20"/>
          <w:szCs w:val="20"/>
        </w:rPr>
        <w:t>hrombus</w:t>
      </w:r>
    </w:p>
    <w:p w14:paraId="7EB03BBC" w14:textId="77777777" w:rsidR="004928EE" w:rsidRDefault="004928EE" w:rsidP="004928EE">
      <w:pPr>
        <w:pStyle w:val="ListParagraph"/>
        <w:numPr>
          <w:ilvl w:val="1"/>
          <w:numId w:val="41"/>
        </w:numPr>
        <w:autoSpaceDE w:val="0"/>
        <w:autoSpaceDN w:val="0"/>
        <w:adjustRightInd w:val="0"/>
        <w:rPr>
          <w:rFonts w:ascii="Arial" w:hAnsi="Arial"/>
          <w:sz w:val="20"/>
          <w:szCs w:val="20"/>
        </w:rPr>
      </w:pPr>
      <w:r>
        <w:rPr>
          <w:rFonts w:ascii="Arial" w:hAnsi="Arial"/>
          <w:sz w:val="20"/>
          <w:szCs w:val="20"/>
        </w:rPr>
        <w:t>A guide catheter angio</w:t>
      </w:r>
      <w:r w:rsidR="000E0960" w:rsidRPr="004928EE">
        <w:rPr>
          <w:rFonts w:ascii="Arial" w:hAnsi="Arial"/>
          <w:sz w:val="20"/>
          <w:szCs w:val="20"/>
        </w:rPr>
        <w:t>gram or road map image should be obtained with microcatheter in place in proximal thrombus to confirm arterial occlusion and appropriate microcathe</w:t>
      </w:r>
      <w:r>
        <w:rPr>
          <w:rFonts w:ascii="Arial" w:hAnsi="Arial"/>
          <w:sz w:val="20"/>
          <w:szCs w:val="20"/>
        </w:rPr>
        <w:t>ter placement</w:t>
      </w:r>
    </w:p>
    <w:p w14:paraId="49F09F8C" w14:textId="77777777" w:rsidR="000E0960" w:rsidRPr="004928EE" w:rsidRDefault="000E0960" w:rsidP="004928EE">
      <w:pPr>
        <w:pStyle w:val="ListParagraph"/>
        <w:numPr>
          <w:ilvl w:val="1"/>
          <w:numId w:val="41"/>
        </w:numPr>
        <w:autoSpaceDE w:val="0"/>
        <w:autoSpaceDN w:val="0"/>
        <w:adjustRightInd w:val="0"/>
        <w:rPr>
          <w:rFonts w:ascii="Arial" w:hAnsi="Arial"/>
          <w:sz w:val="20"/>
          <w:szCs w:val="20"/>
        </w:rPr>
      </w:pPr>
      <w:r w:rsidRPr="004928EE">
        <w:rPr>
          <w:rFonts w:ascii="Arial" w:hAnsi="Arial"/>
          <w:sz w:val="20"/>
          <w:szCs w:val="20"/>
        </w:rPr>
        <w:t>An additional 1 mg of rt-PA will be slowly hand injected at low pressure over 2 minutes, followed by infusion rate 10 mg/hour low pressur</w:t>
      </w:r>
      <w:r w:rsidR="004928EE">
        <w:rPr>
          <w:rFonts w:ascii="Arial" w:hAnsi="Arial"/>
          <w:sz w:val="20"/>
          <w:szCs w:val="20"/>
        </w:rPr>
        <w:t>e hand infusion or syringe pump</w:t>
      </w:r>
    </w:p>
    <w:p w14:paraId="2F258844" w14:textId="77777777" w:rsidR="000E0960" w:rsidRPr="004928EE" w:rsidRDefault="000E0960" w:rsidP="004928EE">
      <w:pPr>
        <w:pStyle w:val="ListParagraph"/>
        <w:numPr>
          <w:ilvl w:val="0"/>
          <w:numId w:val="41"/>
        </w:numPr>
        <w:autoSpaceDE w:val="0"/>
        <w:autoSpaceDN w:val="0"/>
        <w:adjustRightInd w:val="0"/>
        <w:rPr>
          <w:rFonts w:ascii="Arial" w:hAnsi="Arial"/>
          <w:sz w:val="20"/>
          <w:szCs w:val="20"/>
        </w:rPr>
      </w:pPr>
      <w:r w:rsidRPr="004928EE">
        <w:rPr>
          <w:rFonts w:ascii="Arial" w:hAnsi="Arial"/>
          <w:sz w:val="20"/>
          <w:szCs w:val="20"/>
        </w:rPr>
        <w:t>Control angiogram to be conducted ever</w:t>
      </w:r>
      <w:r w:rsidR="004D134A">
        <w:rPr>
          <w:rFonts w:ascii="Arial" w:hAnsi="Arial"/>
          <w:sz w:val="20"/>
          <w:szCs w:val="20"/>
        </w:rPr>
        <w:t>y 15 minutes via guide catheter</w:t>
      </w:r>
      <w:r w:rsidRPr="004928EE">
        <w:rPr>
          <w:rFonts w:ascii="Arial" w:hAnsi="Arial"/>
          <w:sz w:val="20"/>
          <w:szCs w:val="20"/>
        </w:rPr>
        <w:t xml:space="preserve"> </w:t>
      </w:r>
    </w:p>
    <w:p w14:paraId="4DE95A57" w14:textId="77777777" w:rsidR="000E0960" w:rsidRPr="004928EE" w:rsidRDefault="000E0960" w:rsidP="004928EE">
      <w:pPr>
        <w:pStyle w:val="ListParagraph"/>
        <w:numPr>
          <w:ilvl w:val="0"/>
          <w:numId w:val="41"/>
        </w:numPr>
        <w:autoSpaceDE w:val="0"/>
        <w:autoSpaceDN w:val="0"/>
        <w:adjustRightInd w:val="0"/>
        <w:rPr>
          <w:rFonts w:ascii="Arial" w:hAnsi="Arial"/>
          <w:sz w:val="20"/>
          <w:szCs w:val="20"/>
        </w:rPr>
      </w:pPr>
      <w:r w:rsidRPr="004928EE">
        <w:rPr>
          <w:rFonts w:ascii="Arial" w:hAnsi="Arial"/>
          <w:sz w:val="20"/>
          <w:szCs w:val="20"/>
        </w:rPr>
        <w:t>Microcatheter contrast</w:t>
      </w:r>
      <w:r w:rsidR="004D134A">
        <w:rPr>
          <w:rFonts w:ascii="Arial" w:hAnsi="Arial"/>
          <w:sz w:val="20"/>
          <w:szCs w:val="20"/>
        </w:rPr>
        <w:t xml:space="preserve"> injections should be minimized</w:t>
      </w:r>
    </w:p>
    <w:p w14:paraId="0C3B99F2" w14:textId="77777777" w:rsidR="000E0960" w:rsidRPr="004928EE" w:rsidRDefault="000E0960" w:rsidP="004928EE">
      <w:pPr>
        <w:pStyle w:val="ListParagraph"/>
        <w:numPr>
          <w:ilvl w:val="0"/>
          <w:numId w:val="41"/>
        </w:numPr>
        <w:autoSpaceDE w:val="0"/>
        <w:autoSpaceDN w:val="0"/>
        <w:adjustRightInd w:val="0"/>
        <w:rPr>
          <w:rFonts w:ascii="Arial" w:hAnsi="Arial"/>
          <w:sz w:val="20"/>
          <w:szCs w:val="20"/>
        </w:rPr>
      </w:pPr>
      <w:r w:rsidRPr="004928EE">
        <w:rPr>
          <w:rFonts w:ascii="Arial" w:hAnsi="Arial"/>
          <w:sz w:val="20"/>
          <w:szCs w:val="20"/>
        </w:rPr>
        <w:t xml:space="preserve">If complete lysis has not occurred, the microcatheter may be advanced further into the thrombus. Microguidewire and microcatheter may be passed to and from through the thrombus as </w:t>
      </w:r>
      <w:r w:rsidR="004D134A">
        <w:rPr>
          <w:rFonts w:ascii="Arial" w:hAnsi="Arial"/>
          <w:sz w:val="20"/>
          <w:szCs w:val="20"/>
        </w:rPr>
        <w:t>well for mechanical disruption</w:t>
      </w:r>
    </w:p>
    <w:p w14:paraId="658D8053" w14:textId="77777777" w:rsidR="000E0960" w:rsidRPr="000E0960" w:rsidRDefault="000E0960" w:rsidP="000E0960">
      <w:pPr>
        <w:autoSpaceDE w:val="0"/>
        <w:autoSpaceDN w:val="0"/>
        <w:adjustRightInd w:val="0"/>
        <w:rPr>
          <w:rFonts w:ascii="Arial" w:hAnsi="Arial"/>
          <w:sz w:val="20"/>
          <w:szCs w:val="20"/>
        </w:rPr>
      </w:pPr>
    </w:p>
    <w:p w14:paraId="0080DED3" w14:textId="77777777" w:rsidR="000E0960" w:rsidRPr="000E0960" w:rsidRDefault="000E0960" w:rsidP="000E0960">
      <w:pPr>
        <w:autoSpaceDE w:val="0"/>
        <w:autoSpaceDN w:val="0"/>
        <w:adjustRightInd w:val="0"/>
        <w:rPr>
          <w:rFonts w:ascii="Arial" w:hAnsi="Arial"/>
          <w:sz w:val="20"/>
          <w:szCs w:val="20"/>
        </w:rPr>
      </w:pPr>
      <w:r w:rsidRPr="000E0960">
        <w:rPr>
          <w:rFonts w:ascii="Arial" w:hAnsi="Arial"/>
          <w:sz w:val="20"/>
          <w:szCs w:val="20"/>
        </w:rPr>
        <w:t>Post-procedure</w:t>
      </w:r>
    </w:p>
    <w:p w14:paraId="6AF102FE" w14:textId="77777777" w:rsidR="000E0960" w:rsidRPr="004928EE" w:rsidRDefault="000E0960" w:rsidP="004928EE">
      <w:pPr>
        <w:pStyle w:val="ListParagraph"/>
        <w:numPr>
          <w:ilvl w:val="0"/>
          <w:numId w:val="42"/>
        </w:numPr>
        <w:autoSpaceDE w:val="0"/>
        <w:autoSpaceDN w:val="0"/>
        <w:adjustRightInd w:val="0"/>
        <w:rPr>
          <w:rFonts w:ascii="Arial" w:hAnsi="Arial"/>
          <w:sz w:val="20"/>
          <w:szCs w:val="20"/>
        </w:rPr>
      </w:pPr>
      <w:r w:rsidRPr="004928EE">
        <w:rPr>
          <w:rFonts w:ascii="Arial" w:hAnsi="Arial"/>
          <w:sz w:val="20"/>
          <w:szCs w:val="20"/>
        </w:rPr>
        <w:t>At 24 hours: All patients will receive NIHSS</w:t>
      </w:r>
    </w:p>
    <w:p w14:paraId="3B0CA8E9" w14:textId="77777777" w:rsidR="000E0960" w:rsidRPr="004928EE" w:rsidRDefault="000E0960" w:rsidP="004928EE">
      <w:pPr>
        <w:pStyle w:val="ListParagraph"/>
        <w:numPr>
          <w:ilvl w:val="0"/>
          <w:numId w:val="42"/>
        </w:numPr>
        <w:autoSpaceDE w:val="0"/>
        <w:autoSpaceDN w:val="0"/>
        <w:adjustRightInd w:val="0"/>
        <w:rPr>
          <w:rFonts w:ascii="Arial" w:hAnsi="Arial" w:cs="Arial"/>
          <w:sz w:val="20"/>
          <w:szCs w:val="20"/>
        </w:rPr>
      </w:pPr>
      <w:r w:rsidRPr="004928EE">
        <w:rPr>
          <w:rFonts w:ascii="Arial" w:hAnsi="Arial"/>
          <w:sz w:val="20"/>
          <w:szCs w:val="20"/>
        </w:rPr>
        <w:t xml:space="preserve">At </w:t>
      </w:r>
      <w:r w:rsidRPr="004928EE">
        <w:rPr>
          <w:rFonts w:ascii="Arial" w:hAnsi="Arial" w:cs="Arial"/>
          <w:sz w:val="20"/>
          <w:szCs w:val="20"/>
        </w:rPr>
        <w:t>discharge: All patients will receive NIHSS</w:t>
      </w:r>
    </w:p>
    <w:p w14:paraId="6FB8C18B" w14:textId="77777777" w:rsidR="000E0960" w:rsidRPr="004928EE" w:rsidRDefault="000E0960" w:rsidP="004928EE">
      <w:pPr>
        <w:pStyle w:val="ListParagraph"/>
        <w:numPr>
          <w:ilvl w:val="0"/>
          <w:numId w:val="42"/>
        </w:numPr>
        <w:autoSpaceDE w:val="0"/>
        <w:autoSpaceDN w:val="0"/>
        <w:adjustRightInd w:val="0"/>
        <w:rPr>
          <w:rFonts w:ascii="Arial" w:hAnsi="Arial" w:cs="Arial"/>
          <w:sz w:val="20"/>
          <w:szCs w:val="20"/>
        </w:rPr>
      </w:pPr>
      <w:r w:rsidRPr="004928EE">
        <w:rPr>
          <w:rFonts w:ascii="Arial" w:hAnsi="Arial" w:cs="Arial"/>
          <w:sz w:val="20"/>
          <w:szCs w:val="20"/>
        </w:rPr>
        <w:t>1 month: telephone or stroke clinic visit survey for modified Rankin Scale and NIHSS</w:t>
      </w:r>
    </w:p>
    <w:p w14:paraId="1DE5D59A" w14:textId="77777777" w:rsidR="000E0960" w:rsidRPr="004928EE" w:rsidRDefault="000E0960" w:rsidP="004928EE">
      <w:pPr>
        <w:pStyle w:val="ListParagraph"/>
        <w:numPr>
          <w:ilvl w:val="0"/>
          <w:numId w:val="42"/>
        </w:numPr>
        <w:autoSpaceDE w:val="0"/>
        <w:autoSpaceDN w:val="0"/>
        <w:adjustRightInd w:val="0"/>
        <w:rPr>
          <w:rFonts w:ascii="Arial" w:hAnsi="Arial" w:cs="Arial"/>
          <w:sz w:val="20"/>
          <w:szCs w:val="20"/>
        </w:rPr>
      </w:pPr>
      <w:r w:rsidRPr="004928EE">
        <w:rPr>
          <w:rFonts w:ascii="Arial" w:hAnsi="Arial" w:cs="Arial"/>
          <w:sz w:val="20"/>
          <w:szCs w:val="20"/>
        </w:rPr>
        <w:t xml:space="preserve">3 months: telephone or stroke clinic visit survey for modified Rankin Scale and NIHSS </w:t>
      </w:r>
    </w:p>
    <w:p w14:paraId="15404233" w14:textId="77777777" w:rsidR="004928EE" w:rsidRPr="004928EE" w:rsidRDefault="000E0960" w:rsidP="000E0960">
      <w:pPr>
        <w:pStyle w:val="ListParagraph"/>
        <w:numPr>
          <w:ilvl w:val="0"/>
          <w:numId w:val="42"/>
        </w:numPr>
        <w:autoSpaceDE w:val="0"/>
        <w:autoSpaceDN w:val="0"/>
        <w:adjustRightInd w:val="0"/>
        <w:rPr>
          <w:rFonts w:ascii="Arial" w:hAnsi="Arial" w:cs="Arial"/>
          <w:sz w:val="20"/>
          <w:szCs w:val="20"/>
        </w:rPr>
      </w:pPr>
      <w:r w:rsidRPr="004928EE">
        <w:rPr>
          <w:rFonts w:ascii="Arial" w:hAnsi="Arial" w:cs="Arial"/>
          <w:sz w:val="20"/>
          <w:szCs w:val="20"/>
        </w:rPr>
        <w:t>12 month: mRS</w:t>
      </w:r>
    </w:p>
    <w:p w14:paraId="5D385C6B" w14:textId="77777777" w:rsidR="0015776B" w:rsidRPr="004928EE" w:rsidRDefault="000E0960" w:rsidP="000E0960">
      <w:pPr>
        <w:pStyle w:val="ListParagraph"/>
        <w:numPr>
          <w:ilvl w:val="0"/>
          <w:numId w:val="42"/>
        </w:numPr>
        <w:autoSpaceDE w:val="0"/>
        <w:autoSpaceDN w:val="0"/>
        <w:adjustRightInd w:val="0"/>
        <w:rPr>
          <w:rFonts w:ascii="Arial" w:hAnsi="Arial" w:cs="Arial"/>
          <w:sz w:val="20"/>
          <w:szCs w:val="20"/>
        </w:rPr>
      </w:pPr>
      <w:r w:rsidRPr="004928EE">
        <w:rPr>
          <w:rFonts w:ascii="Arial" w:hAnsi="Arial" w:cs="Arial"/>
          <w:sz w:val="20"/>
          <w:szCs w:val="20"/>
        </w:rPr>
        <w:t>NIHSS and mRS recommended at every stroke clinic vis</w:t>
      </w:r>
      <w:r w:rsidR="004D134A">
        <w:rPr>
          <w:rFonts w:ascii="Arial" w:hAnsi="Arial" w:cs="Arial"/>
          <w:sz w:val="20"/>
          <w:szCs w:val="20"/>
        </w:rPr>
        <w:t>it follow-up for first 3 months</w:t>
      </w:r>
    </w:p>
    <w:p w14:paraId="563E500F" w14:textId="77777777" w:rsidR="0015776B" w:rsidRPr="004928EE" w:rsidRDefault="0015776B" w:rsidP="0015776B">
      <w:pPr>
        <w:autoSpaceDE w:val="0"/>
        <w:autoSpaceDN w:val="0"/>
        <w:adjustRightInd w:val="0"/>
        <w:ind w:left="360" w:hanging="180"/>
        <w:rPr>
          <w:rFonts w:ascii="Arial" w:hAnsi="Arial" w:cs="Arial"/>
          <w:sz w:val="20"/>
          <w:szCs w:val="20"/>
        </w:rPr>
      </w:pPr>
    </w:p>
    <w:p w14:paraId="2F922B76" w14:textId="77777777" w:rsidR="0015776B" w:rsidRDefault="0015776B" w:rsidP="0015776B">
      <w:pPr>
        <w:autoSpaceDE w:val="0"/>
        <w:autoSpaceDN w:val="0"/>
        <w:adjustRightInd w:val="0"/>
        <w:ind w:left="360" w:hanging="180"/>
        <w:rPr>
          <w:rFonts w:ascii="Arial" w:hAnsi="Arial" w:cs="Arial"/>
          <w:sz w:val="20"/>
          <w:szCs w:val="20"/>
        </w:rPr>
      </w:pPr>
    </w:p>
    <w:p w14:paraId="159A29CF" w14:textId="77777777" w:rsidR="004928EE" w:rsidRDefault="004928EE" w:rsidP="0015776B">
      <w:pPr>
        <w:autoSpaceDE w:val="0"/>
        <w:autoSpaceDN w:val="0"/>
        <w:adjustRightInd w:val="0"/>
        <w:ind w:left="360" w:hanging="180"/>
        <w:rPr>
          <w:rFonts w:ascii="Arial" w:hAnsi="Arial" w:cs="Arial"/>
          <w:sz w:val="20"/>
          <w:szCs w:val="20"/>
        </w:rPr>
      </w:pPr>
    </w:p>
    <w:p w14:paraId="564298CE" w14:textId="77777777" w:rsidR="004928EE" w:rsidRDefault="004928EE" w:rsidP="0015776B">
      <w:pPr>
        <w:autoSpaceDE w:val="0"/>
        <w:autoSpaceDN w:val="0"/>
        <w:adjustRightInd w:val="0"/>
        <w:ind w:left="360" w:hanging="180"/>
        <w:rPr>
          <w:rFonts w:ascii="Arial" w:hAnsi="Arial" w:cs="Arial"/>
          <w:sz w:val="20"/>
          <w:szCs w:val="20"/>
        </w:rPr>
      </w:pPr>
    </w:p>
    <w:p w14:paraId="53ECEFED" w14:textId="77777777" w:rsidR="009B29D4" w:rsidRDefault="009B29D4">
      <w:pPr>
        <w:rPr>
          <w:rFonts w:ascii="Arial" w:hAnsi="Arial" w:cs="Arial"/>
          <w:b/>
          <w:sz w:val="20"/>
          <w:szCs w:val="20"/>
        </w:rPr>
      </w:pPr>
      <w:r>
        <w:rPr>
          <w:rFonts w:ascii="Arial" w:hAnsi="Arial" w:cs="Arial"/>
          <w:b/>
          <w:sz w:val="20"/>
          <w:szCs w:val="20"/>
        </w:rPr>
        <w:br w:type="page"/>
      </w:r>
    </w:p>
    <w:p w14:paraId="43BD2FD0" w14:textId="77777777" w:rsidR="0015776B" w:rsidRPr="004928EE" w:rsidRDefault="0015776B" w:rsidP="004928EE">
      <w:pPr>
        <w:autoSpaceDE w:val="0"/>
        <w:autoSpaceDN w:val="0"/>
        <w:adjustRightInd w:val="0"/>
        <w:jc w:val="center"/>
        <w:rPr>
          <w:rFonts w:ascii="Arial" w:hAnsi="Arial" w:cs="Arial"/>
          <w:b/>
          <w:sz w:val="20"/>
          <w:szCs w:val="20"/>
        </w:rPr>
      </w:pPr>
      <w:r w:rsidRPr="004928EE">
        <w:rPr>
          <w:rFonts w:ascii="Arial" w:hAnsi="Arial" w:cs="Arial"/>
          <w:b/>
          <w:sz w:val="20"/>
          <w:szCs w:val="20"/>
        </w:rPr>
        <w:lastRenderedPageBreak/>
        <w:t>A</w:t>
      </w:r>
      <w:r w:rsidR="004928EE" w:rsidRPr="004928EE">
        <w:rPr>
          <w:rFonts w:ascii="Arial" w:hAnsi="Arial" w:cs="Arial"/>
          <w:b/>
          <w:sz w:val="20"/>
          <w:szCs w:val="20"/>
        </w:rPr>
        <w:t>PPENDIX A</w:t>
      </w:r>
    </w:p>
    <w:p w14:paraId="4BE01ACC" w14:textId="77777777" w:rsidR="004928EE" w:rsidRPr="004928EE" w:rsidRDefault="004928EE" w:rsidP="004928EE">
      <w:pPr>
        <w:autoSpaceDE w:val="0"/>
        <w:autoSpaceDN w:val="0"/>
        <w:adjustRightInd w:val="0"/>
        <w:rPr>
          <w:rFonts w:ascii="Arial" w:hAnsi="Arial" w:cs="Arial"/>
          <w:sz w:val="20"/>
          <w:szCs w:val="20"/>
        </w:rPr>
      </w:pPr>
      <w:r w:rsidRPr="004928EE">
        <w:rPr>
          <w:rFonts w:ascii="Arial" w:hAnsi="Arial" w:cs="Arial"/>
          <w:sz w:val="20"/>
          <w:szCs w:val="20"/>
        </w:rPr>
        <w:t>Brief summary of selected trials addressing the risk of CIN in acute ischemic stroke patients who underwent CTA.</w:t>
      </w:r>
    </w:p>
    <w:p w14:paraId="6F70F4F3" w14:textId="77777777" w:rsidR="004928EE" w:rsidRPr="004928EE" w:rsidRDefault="004928EE" w:rsidP="004928EE">
      <w:pPr>
        <w:autoSpaceDE w:val="0"/>
        <w:autoSpaceDN w:val="0"/>
        <w:adjustRightInd w:val="0"/>
        <w:rPr>
          <w:rFonts w:ascii="Arial" w:hAnsi="Arial" w:cs="Arial"/>
          <w:sz w:val="20"/>
          <w:szCs w:val="20"/>
        </w:rPr>
      </w:pPr>
    </w:p>
    <w:p w14:paraId="5B71FD3F" w14:textId="77777777" w:rsidR="004928EE" w:rsidRPr="009B29D4" w:rsidRDefault="004928EE" w:rsidP="009B29D4">
      <w:pPr>
        <w:pStyle w:val="ListParagraph"/>
        <w:numPr>
          <w:ilvl w:val="0"/>
          <w:numId w:val="46"/>
        </w:numPr>
        <w:autoSpaceDE w:val="0"/>
        <w:autoSpaceDN w:val="0"/>
        <w:adjustRightInd w:val="0"/>
        <w:rPr>
          <w:rFonts w:ascii="Arial" w:hAnsi="Arial" w:cs="Arial"/>
          <w:b/>
          <w:sz w:val="20"/>
          <w:szCs w:val="20"/>
        </w:rPr>
      </w:pPr>
      <w:r w:rsidRPr="009B29D4">
        <w:rPr>
          <w:rFonts w:ascii="Arial" w:hAnsi="Arial" w:cs="Arial"/>
          <w:b/>
          <w:sz w:val="20"/>
          <w:szCs w:val="20"/>
        </w:rPr>
        <w:t>Krol AL, Dzialowski I, Roy J. Incidence of Radiocontrast Nephropathy in Pa-tients Undergoing Acute Stroke Computed Tomography Angiography. Stroke 2007;38:2364-2366.</w:t>
      </w:r>
    </w:p>
    <w:p w14:paraId="3F0D342D"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Incidence of CIN, defined as &gt; 25% elevation in serum Cr within 72 hrs of administration</w:t>
      </w:r>
    </w:p>
    <w:p w14:paraId="78977777"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Contrast used: nonionic, low-osmolar Optiray 320</w:t>
      </w:r>
    </w:p>
    <w:p w14:paraId="65CEF741"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 xml:space="preserve">Patients with a positive history renal disease, CTA was delayed until available serum Cr </w:t>
      </w:r>
    </w:p>
    <w:p w14:paraId="4FF06F86" w14:textId="77777777" w:rsidR="004928EE" w:rsidRPr="009B29D4" w:rsidRDefault="004928EE" w:rsidP="009B29D4">
      <w:pPr>
        <w:autoSpaceDE w:val="0"/>
        <w:autoSpaceDN w:val="0"/>
        <w:adjustRightInd w:val="0"/>
        <w:ind w:left="720"/>
        <w:rPr>
          <w:rFonts w:ascii="Arial" w:hAnsi="Arial" w:cs="Arial"/>
          <w:sz w:val="20"/>
          <w:szCs w:val="20"/>
          <w:u w:val="single"/>
        </w:rPr>
      </w:pPr>
      <w:r w:rsidRPr="009B29D4">
        <w:rPr>
          <w:rFonts w:ascii="Arial" w:hAnsi="Arial" w:cs="Arial"/>
          <w:sz w:val="20"/>
          <w:szCs w:val="20"/>
          <w:u w:val="single"/>
        </w:rPr>
        <w:t>Results</w:t>
      </w:r>
    </w:p>
    <w:p w14:paraId="55F34BA2"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224 patients (2 with h/o CKD)</w:t>
      </w:r>
    </w:p>
    <w:p w14:paraId="71A96B87"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3% developed CIN acutely* and 13% in late follow-up (none required HD)</w:t>
      </w:r>
    </w:p>
    <w:p w14:paraId="0B8F068B" w14:textId="77777777" w:rsidR="004928EE" w:rsidRPr="004928EE" w:rsidRDefault="004928EE" w:rsidP="009B29D4">
      <w:pPr>
        <w:autoSpaceDE w:val="0"/>
        <w:autoSpaceDN w:val="0"/>
        <w:adjustRightInd w:val="0"/>
        <w:ind w:left="1440"/>
        <w:rPr>
          <w:rFonts w:ascii="Arial" w:hAnsi="Arial" w:cs="Arial"/>
          <w:sz w:val="20"/>
          <w:szCs w:val="20"/>
        </w:rPr>
      </w:pPr>
      <w:r w:rsidRPr="004928EE">
        <w:rPr>
          <w:rFonts w:ascii="Arial" w:hAnsi="Arial" w:cs="Arial"/>
          <w:sz w:val="20"/>
          <w:szCs w:val="20"/>
        </w:rPr>
        <w:t>*93 patients underwent CTA without available Cr, 2% developed CIN; 131 patients underwent CT after available Cr, 4% developed CIN</w:t>
      </w:r>
    </w:p>
    <w:p w14:paraId="08FAB693" w14:textId="77777777" w:rsidR="004928EE" w:rsidRPr="004928EE" w:rsidRDefault="004928EE" w:rsidP="004928EE">
      <w:pPr>
        <w:autoSpaceDE w:val="0"/>
        <w:autoSpaceDN w:val="0"/>
        <w:adjustRightInd w:val="0"/>
        <w:rPr>
          <w:rFonts w:ascii="Arial" w:hAnsi="Arial" w:cs="Arial"/>
          <w:sz w:val="20"/>
          <w:szCs w:val="20"/>
        </w:rPr>
      </w:pPr>
    </w:p>
    <w:p w14:paraId="153AE219" w14:textId="77777777" w:rsidR="004928EE" w:rsidRPr="009B29D4" w:rsidRDefault="004928EE" w:rsidP="009B29D4">
      <w:pPr>
        <w:pStyle w:val="ListParagraph"/>
        <w:numPr>
          <w:ilvl w:val="0"/>
          <w:numId w:val="46"/>
        </w:numPr>
        <w:autoSpaceDE w:val="0"/>
        <w:autoSpaceDN w:val="0"/>
        <w:adjustRightInd w:val="0"/>
        <w:rPr>
          <w:rFonts w:ascii="Arial" w:hAnsi="Arial" w:cs="Arial"/>
          <w:b/>
          <w:sz w:val="20"/>
          <w:szCs w:val="20"/>
        </w:rPr>
      </w:pPr>
      <w:r w:rsidRPr="009B29D4">
        <w:rPr>
          <w:rFonts w:ascii="Arial" w:hAnsi="Arial" w:cs="Arial"/>
          <w:b/>
          <w:sz w:val="20"/>
          <w:szCs w:val="20"/>
        </w:rPr>
        <w:t>Hopyan JJ, Gladstone DJ Mallia G et al. Renal Safety of CT Angiography and Perfusion Imaging in the Emergency Evaluation of Acute Stroke. AJNR Nov 2008. 29:1826-1830</w:t>
      </w:r>
    </w:p>
    <w:p w14:paraId="0F009182" w14:textId="77777777" w:rsidR="004928EE" w:rsidRPr="004928EE" w:rsidRDefault="004928EE" w:rsidP="004928EE">
      <w:pPr>
        <w:autoSpaceDE w:val="0"/>
        <w:autoSpaceDN w:val="0"/>
        <w:adjustRightInd w:val="0"/>
        <w:rPr>
          <w:rFonts w:ascii="Arial" w:hAnsi="Arial" w:cs="Arial"/>
          <w:sz w:val="20"/>
          <w:szCs w:val="20"/>
        </w:rPr>
      </w:pPr>
    </w:p>
    <w:p w14:paraId="23DAD316"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Incidence of CIN, defined as &gt; 25% elevation in serum Cr within 72 hrs of administration</w:t>
      </w:r>
    </w:p>
    <w:p w14:paraId="1CE0C8F0"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Incidence of CKD, regardless of available Cr within 72 hrs</w:t>
      </w:r>
    </w:p>
    <w:p w14:paraId="76895FC6"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Contrast used: nonionic; low-osmolar Omnipaque, iso-osmolar Visipaque*</w:t>
      </w:r>
    </w:p>
    <w:p w14:paraId="0F2C1ECD" w14:textId="77777777" w:rsidR="004928EE" w:rsidRPr="004928EE" w:rsidRDefault="004928EE" w:rsidP="009B29D4">
      <w:pPr>
        <w:autoSpaceDE w:val="0"/>
        <w:autoSpaceDN w:val="0"/>
        <w:adjustRightInd w:val="0"/>
        <w:ind w:left="1440"/>
        <w:rPr>
          <w:rFonts w:ascii="Arial" w:hAnsi="Arial" w:cs="Arial"/>
          <w:sz w:val="20"/>
          <w:szCs w:val="20"/>
        </w:rPr>
      </w:pPr>
      <w:r w:rsidRPr="004928EE">
        <w:rPr>
          <w:rFonts w:ascii="Arial" w:hAnsi="Arial" w:cs="Arial"/>
          <w:sz w:val="20"/>
          <w:szCs w:val="20"/>
        </w:rPr>
        <w:t>*Visipaque preferentially used in patients with GFR 30-60mL/min, and those without baseline Cr</w:t>
      </w:r>
    </w:p>
    <w:p w14:paraId="2AA6594B" w14:textId="77777777" w:rsidR="004928EE" w:rsidRPr="009B29D4" w:rsidRDefault="004928EE" w:rsidP="009B29D4">
      <w:pPr>
        <w:autoSpaceDE w:val="0"/>
        <w:autoSpaceDN w:val="0"/>
        <w:adjustRightInd w:val="0"/>
        <w:ind w:left="720"/>
        <w:rPr>
          <w:rFonts w:ascii="Arial" w:hAnsi="Arial" w:cs="Arial"/>
          <w:sz w:val="20"/>
          <w:szCs w:val="20"/>
          <w:u w:val="single"/>
        </w:rPr>
      </w:pPr>
      <w:r w:rsidRPr="009B29D4">
        <w:rPr>
          <w:rFonts w:ascii="Arial" w:hAnsi="Arial" w:cs="Arial"/>
          <w:sz w:val="20"/>
          <w:szCs w:val="20"/>
          <w:u w:val="single"/>
        </w:rPr>
        <w:t>Results</w:t>
      </w:r>
    </w:p>
    <w:p w14:paraId="4ABC5C46"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198 patients (10 patients with known h/o CKD)</w:t>
      </w:r>
    </w:p>
    <w:p w14:paraId="372CD4F4"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0 patients developed CKD</w:t>
      </w:r>
    </w:p>
    <w:p w14:paraId="4DF26138"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2.9% developed CIN* (none required HD or developed CKD)</w:t>
      </w:r>
    </w:p>
    <w:p w14:paraId="66886D3E" w14:textId="77777777" w:rsidR="004928EE" w:rsidRPr="004928EE" w:rsidRDefault="004928EE" w:rsidP="009B29D4">
      <w:pPr>
        <w:autoSpaceDE w:val="0"/>
        <w:autoSpaceDN w:val="0"/>
        <w:adjustRightInd w:val="0"/>
        <w:ind w:left="1440"/>
        <w:rPr>
          <w:rFonts w:ascii="Arial" w:hAnsi="Arial" w:cs="Arial"/>
          <w:sz w:val="20"/>
          <w:szCs w:val="20"/>
        </w:rPr>
      </w:pPr>
      <w:r w:rsidRPr="004928EE">
        <w:rPr>
          <w:rFonts w:ascii="Arial" w:hAnsi="Arial" w:cs="Arial"/>
          <w:sz w:val="20"/>
          <w:szCs w:val="20"/>
        </w:rPr>
        <w:t>*2% in patients scanned before available baseline Cr</w:t>
      </w:r>
    </w:p>
    <w:p w14:paraId="1AD3E3CE"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Most patients received IVF after contrast CT (75-125 mL/h)</w:t>
      </w:r>
    </w:p>
    <w:p w14:paraId="4DD7081D" w14:textId="77777777" w:rsidR="004928EE" w:rsidRPr="004928EE" w:rsidRDefault="004928EE" w:rsidP="004928EE">
      <w:pPr>
        <w:autoSpaceDE w:val="0"/>
        <w:autoSpaceDN w:val="0"/>
        <w:adjustRightInd w:val="0"/>
        <w:rPr>
          <w:rFonts w:ascii="Arial" w:hAnsi="Arial" w:cs="Arial"/>
          <w:sz w:val="20"/>
          <w:szCs w:val="20"/>
        </w:rPr>
      </w:pPr>
    </w:p>
    <w:p w14:paraId="4D5F15CE" w14:textId="77777777" w:rsidR="004928EE" w:rsidRPr="009B29D4" w:rsidRDefault="004928EE" w:rsidP="009B29D4">
      <w:pPr>
        <w:pStyle w:val="ListParagraph"/>
        <w:numPr>
          <w:ilvl w:val="0"/>
          <w:numId w:val="46"/>
        </w:numPr>
        <w:autoSpaceDE w:val="0"/>
        <w:autoSpaceDN w:val="0"/>
        <w:adjustRightInd w:val="0"/>
        <w:rPr>
          <w:rFonts w:ascii="Arial" w:hAnsi="Arial" w:cs="Arial"/>
          <w:b/>
          <w:sz w:val="20"/>
          <w:szCs w:val="20"/>
        </w:rPr>
      </w:pPr>
      <w:r w:rsidRPr="009B29D4">
        <w:rPr>
          <w:rFonts w:ascii="Arial" w:hAnsi="Arial" w:cs="Arial"/>
          <w:b/>
          <w:sz w:val="20"/>
          <w:szCs w:val="20"/>
        </w:rPr>
        <w:t>Dittrich R, Akdeniz S, Kloska SP et al. Low ra</w:t>
      </w:r>
      <w:r w:rsidR="009B29D4">
        <w:rPr>
          <w:rFonts w:ascii="Arial" w:hAnsi="Arial" w:cs="Arial"/>
          <w:b/>
          <w:sz w:val="20"/>
          <w:szCs w:val="20"/>
        </w:rPr>
        <w:t>te of contrast-induced Nephropa</w:t>
      </w:r>
      <w:r w:rsidRPr="009B29D4">
        <w:rPr>
          <w:rFonts w:ascii="Arial" w:hAnsi="Arial" w:cs="Arial"/>
          <w:b/>
          <w:sz w:val="20"/>
          <w:szCs w:val="20"/>
        </w:rPr>
        <w:t>thy after CT perfusion and CT angiography in acute strok</w:t>
      </w:r>
      <w:r w:rsidR="0008659C">
        <w:rPr>
          <w:rFonts w:ascii="Arial" w:hAnsi="Arial" w:cs="Arial"/>
          <w:b/>
          <w:sz w:val="20"/>
          <w:szCs w:val="20"/>
        </w:rPr>
        <w:t xml:space="preserve">e patients. J Neurol. 2007 Nov; </w:t>
      </w:r>
      <w:r w:rsidRPr="009B29D4">
        <w:rPr>
          <w:rFonts w:ascii="Arial" w:hAnsi="Arial" w:cs="Arial"/>
          <w:b/>
          <w:sz w:val="20"/>
          <w:szCs w:val="20"/>
        </w:rPr>
        <w:t>254(11):149-7.</w:t>
      </w:r>
    </w:p>
    <w:p w14:paraId="53D44E6F" w14:textId="77777777" w:rsidR="004928EE" w:rsidRPr="004928EE" w:rsidRDefault="004928EE" w:rsidP="004928EE">
      <w:pPr>
        <w:autoSpaceDE w:val="0"/>
        <w:autoSpaceDN w:val="0"/>
        <w:adjustRightInd w:val="0"/>
        <w:rPr>
          <w:rFonts w:ascii="Arial" w:hAnsi="Arial" w:cs="Arial"/>
          <w:sz w:val="20"/>
          <w:szCs w:val="20"/>
        </w:rPr>
      </w:pPr>
    </w:p>
    <w:p w14:paraId="12D1E6EC"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Contrast used: nonionic, low osmolar Ultravist 300</w:t>
      </w:r>
    </w:p>
    <w:p w14:paraId="1994A31C" w14:textId="77777777" w:rsidR="004928EE" w:rsidRPr="004928EE" w:rsidRDefault="004928EE" w:rsidP="009B29D4">
      <w:pPr>
        <w:autoSpaceDE w:val="0"/>
        <w:autoSpaceDN w:val="0"/>
        <w:adjustRightInd w:val="0"/>
        <w:ind w:left="720"/>
        <w:rPr>
          <w:rFonts w:ascii="Arial" w:hAnsi="Arial" w:cs="Arial"/>
          <w:sz w:val="20"/>
          <w:szCs w:val="20"/>
        </w:rPr>
      </w:pPr>
    </w:p>
    <w:p w14:paraId="76422590" w14:textId="77777777" w:rsidR="004928EE" w:rsidRPr="009B29D4" w:rsidRDefault="004928EE" w:rsidP="009B29D4">
      <w:pPr>
        <w:autoSpaceDE w:val="0"/>
        <w:autoSpaceDN w:val="0"/>
        <w:adjustRightInd w:val="0"/>
        <w:ind w:left="720"/>
        <w:rPr>
          <w:rFonts w:ascii="Arial" w:hAnsi="Arial" w:cs="Arial"/>
          <w:sz w:val="20"/>
          <w:szCs w:val="20"/>
          <w:u w:val="single"/>
        </w:rPr>
      </w:pPr>
      <w:r w:rsidRPr="009B29D4">
        <w:rPr>
          <w:rFonts w:ascii="Arial" w:hAnsi="Arial" w:cs="Arial"/>
          <w:sz w:val="20"/>
          <w:szCs w:val="20"/>
          <w:u w:val="single"/>
        </w:rPr>
        <w:t>Results</w:t>
      </w:r>
    </w:p>
    <w:p w14:paraId="62A7EE96"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162 patients (25% with known h/o CKD)</w:t>
      </w:r>
    </w:p>
    <w:p w14:paraId="5F78D246"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3% developed CIN (none required HD)*</w:t>
      </w:r>
    </w:p>
    <w:p w14:paraId="3927A2D8"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 xml:space="preserve">*Cr clearance did not decrease </w:t>
      </w:r>
      <w:r w:rsidR="009B29D4">
        <w:rPr>
          <w:rFonts w:ascii="Arial" w:hAnsi="Arial" w:cs="Arial"/>
          <w:sz w:val="20"/>
          <w:szCs w:val="20"/>
        </w:rPr>
        <w:t xml:space="preserve">significantly in patients </w:t>
      </w:r>
      <w:r w:rsidR="009B29D4" w:rsidRPr="004D134A">
        <w:rPr>
          <w:rFonts w:ascii="Arial" w:hAnsi="Arial" w:cs="Arial"/>
          <w:sz w:val="20"/>
          <w:szCs w:val="20"/>
        </w:rPr>
        <w:t xml:space="preserve">with </w:t>
      </w:r>
      <w:r w:rsidR="0008659C" w:rsidRPr="004D134A">
        <w:rPr>
          <w:rFonts w:ascii="Arial" w:hAnsi="Arial" w:cs="Arial"/>
          <w:sz w:val="20"/>
          <w:szCs w:val="20"/>
        </w:rPr>
        <w:t>h</w:t>
      </w:r>
      <w:r w:rsidR="004D134A" w:rsidRPr="004D134A">
        <w:rPr>
          <w:rFonts w:ascii="Arial" w:hAnsi="Arial" w:cs="Arial"/>
          <w:sz w:val="20"/>
          <w:szCs w:val="20"/>
        </w:rPr>
        <w:t>/</w:t>
      </w:r>
      <w:r w:rsidRPr="004D134A">
        <w:rPr>
          <w:rFonts w:ascii="Arial" w:hAnsi="Arial" w:cs="Arial"/>
          <w:sz w:val="20"/>
          <w:szCs w:val="20"/>
        </w:rPr>
        <w:t>o CKD</w:t>
      </w:r>
    </w:p>
    <w:p w14:paraId="409F0306"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Most patients received IVF within 48 hours a</w:t>
      </w:r>
      <w:r w:rsidR="004D134A">
        <w:rPr>
          <w:rFonts w:ascii="Arial" w:hAnsi="Arial" w:cs="Arial"/>
          <w:sz w:val="20"/>
          <w:szCs w:val="20"/>
        </w:rPr>
        <w:t>fter administration of contrast</w:t>
      </w:r>
    </w:p>
    <w:p w14:paraId="2F43CCC1" w14:textId="77777777" w:rsidR="004928EE" w:rsidRPr="004928EE" w:rsidRDefault="004928EE" w:rsidP="009B29D4">
      <w:pPr>
        <w:autoSpaceDE w:val="0"/>
        <w:autoSpaceDN w:val="0"/>
        <w:adjustRightInd w:val="0"/>
        <w:ind w:left="720"/>
        <w:rPr>
          <w:rFonts w:ascii="Arial" w:hAnsi="Arial" w:cs="Arial"/>
          <w:sz w:val="20"/>
          <w:szCs w:val="20"/>
        </w:rPr>
      </w:pPr>
    </w:p>
    <w:p w14:paraId="5712DE34" w14:textId="77777777" w:rsidR="004928EE" w:rsidRPr="009B29D4" w:rsidRDefault="004928EE" w:rsidP="009B29D4">
      <w:pPr>
        <w:pStyle w:val="ListParagraph"/>
        <w:numPr>
          <w:ilvl w:val="0"/>
          <w:numId w:val="46"/>
        </w:numPr>
        <w:autoSpaceDE w:val="0"/>
        <w:autoSpaceDN w:val="0"/>
        <w:adjustRightInd w:val="0"/>
        <w:rPr>
          <w:rFonts w:ascii="Arial" w:hAnsi="Arial" w:cs="Arial"/>
          <w:b/>
          <w:sz w:val="20"/>
          <w:szCs w:val="20"/>
        </w:rPr>
      </w:pPr>
      <w:r w:rsidRPr="009B29D4">
        <w:rPr>
          <w:rFonts w:ascii="Arial" w:hAnsi="Arial" w:cs="Arial"/>
          <w:b/>
          <w:sz w:val="20"/>
          <w:szCs w:val="20"/>
        </w:rPr>
        <w:t>Lima FO, lev MH, Levy RA et al. Functional contrast-induced CT for evaluation of acute ischemic stroke does not increase the risk of contrast-induced nephropa-thy. AJNR 2010 31:817-821</w:t>
      </w:r>
    </w:p>
    <w:p w14:paraId="09E365C8" w14:textId="77777777" w:rsidR="004928EE" w:rsidRPr="004928EE" w:rsidRDefault="004928EE" w:rsidP="004928EE">
      <w:pPr>
        <w:autoSpaceDE w:val="0"/>
        <w:autoSpaceDN w:val="0"/>
        <w:adjustRightInd w:val="0"/>
        <w:rPr>
          <w:rFonts w:ascii="Arial" w:hAnsi="Arial" w:cs="Arial"/>
          <w:sz w:val="20"/>
          <w:szCs w:val="20"/>
        </w:rPr>
      </w:pPr>
    </w:p>
    <w:p w14:paraId="73C46AEA"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CIN defined as &gt; 25% elevation in post-contrast serum Cr</w:t>
      </w:r>
    </w:p>
    <w:p w14:paraId="51469B3A"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 xml:space="preserve">Contrast used: nonionic, low osmolar Isovue </w:t>
      </w:r>
    </w:p>
    <w:p w14:paraId="1CBDE29A" w14:textId="77777777" w:rsidR="004928EE" w:rsidRPr="004928EE" w:rsidRDefault="004928EE" w:rsidP="009B29D4">
      <w:pPr>
        <w:autoSpaceDE w:val="0"/>
        <w:autoSpaceDN w:val="0"/>
        <w:adjustRightInd w:val="0"/>
        <w:ind w:left="720"/>
        <w:rPr>
          <w:rFonts w:ascii="Arial" w:hAnsi="Arial" w:cs="Arial"/>
          <w:sz w:val="20"/>
          <w:szCs w:val="20"/>
        </w:rPr>
      </w:pPr>
    </w:p>
    <w:p w14:paraId="3BAB0251" w14:textId="77777777" w:rsidR="004928EE" w:rsidRPr="009B29D4" w:rsidRDefault="004928EE" w:rsidP="009B29D4">
      <w:pPr>
        <w:autoSpaceDE w:val="0"/>
        <w:autoSpaceDN w:val="0"/>
        <w:adjustRightInd w:val="0"/>
        <w:ind w:left="720"/>
        <w:rPr>
          <w:rFonts w:ascii="Arial" w:hAnsi="Arial" w:cs="Arial"/>
          <w:sz w:val="20"/>
          <w:szCs w:val="20"/>
          <w:u w:val="single"/>
        </w:rPr>
      </w:pPr>
      <w:r w:rsidRPr="009B29D4">
        <w:rPr>
          <w:rFonts w:ascii="Arial" w:hAnsi="Arial" w:cs="Arial"/>
          <w:sz w:val="20"/>
          <w:szCs w:val="20"/>
          <w:u w:val="single"/>
        </w:rPr>
        <w:t>Results</w:t>
      </w:r>
    </w:p>
    <w:p w14:paraId="2A84A522"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575 patients received contrast</w:t>
      </w:r>
    </w:p>
    <w:p w14:paraId="3DBFDCAC"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5% developed CIN (vs. 10% in non-exposed cohort of 343 patients)</w:t>
      </w:r>
    </w:p>
    <w:p w14:paraId="04818BBA" w14:textId="77777777" w:rsidR="004928EE" w:rsidRPr="004928EE" w:rsidRDefault="004928EE" w:rsidP="009B29D4">
      <w:pPr>
        <w:autoSpaceDE w:val="0"/>
        <w:autoSpaceDN w:val="0"/>
        <w:adjustRightInd w:val="0"/>
        <w:ind w:left="720"/>
        <w:rPr>
          <w:rFonts w:ascii="Arial" w:hAnsi="Arial" w:cs="Arial"/>
          <w:sz w:val="20"/>
          <w:szCs w:val="20"/>
        </w:rPr>
      </w:pPr>
    </w:p>
    <w:p w14:paraId="78DA1EDB" w14:textId="77777777" w:rsidR="004928EE" w:rsidRPr="009B29D4" w:rsidRDefault="004928EE" w:rsidP="009B29D4">
      <w:pPr>
        <w:pStyle w:val="ListParagraph"/>
        <w:numPr>
          <w:ilvl w:val="0"/>
          <w:numId w:val="46"/>
        </w:numPr>
        <w:autoSpaceDE w:val="0"/>
        <w:autoSpaceDN w:val="0"/>
        <w:adjustRightInd w:val="0"/>
        <w:rPr>
          <w:rFonts w:ascii="Arial" w:hAnsi="Arial" w:cs="Arial"/>
          <w:b/>
          <w:sz w:val="20"/>
          <w:szCs w:val="20"/>
        </w:rPr>
      </w:pPr>
      <w:r w:rsidRPr="009B29D4">
        <w:rPr>
          <w:rFonts w:ascii="Arial" w:hAnsi="Arial" w:cs="Arial"/>
          <w:b/>
          <w:sz w:val="20"/>
          <w:szCs w:val="20"/>
        </w:rPr>
        <w:lastRenderedPageBreak/>
        <w:t>Sharma J, Nanda A, Jung RS et al. Risk of contrast-induced nephropathy in patients undergoing endovascular trea</w:t>
      </w:r>
      <w:r w:rsidR="004D134A">
        <w:rPr>
          <w:rFonts w:ascii="Arial" w:hAnsi="Arial" w:cs="Arial"/>
          <w:b/>
          <w:sz w:val="20"/>
          <w:szCs w:val="20"/>
        </w:rPr>
        <w:t xml:space="preserve">tment of acute ischemic stroke. </w:t>
      </w:r>
      <w:r w:rsidRPr="009B29D4">
        <w:rPr>
          <w:rFonts w:ascii="Arial" w:hAnsi="Arial" w:cs="Arial"/>
          <w:b/>
          <w:sz w:val="20"/>
          <w:szCs w:val="20"/>
        </w:rPr>
        <w:t>JNIS 2013 Nov;5(6):543-4.</w:t>
      </w:r>
    </w:p>
    <w:p w14:paraId="62DEB1EA" w14:textId="77777777" w:rsidR="004928EE" w:rsidRPr="004928EE" w:rsidRDefault="004928EE" w:rsidP="004928EE">
      <w:pPr>
        <w:autoSpaceDE w:val="0"/>
        <w:autoSpaceDN w:val="0"/>
        <w:adjustRightInd w:val="0"/>
        <w:rPr>
          <w:rFonts w:ascii="Arial" w:hAnsi="Arial" w:cs="Arial"/>
          <w:sz w:val="20"/>
          <w:szCs w:val="20"/>
        </w:rPr>
      </w:pPr>
    </w:p>
    <w:p w14:paraId="145C4FAD"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CIN defined as &gt; 50% elevation of serum Cr above baseline.</w:t>
      </w:r>
    </w:p>
    <w:p w14:paraId="34696861"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Contrast used: Optiray 320</w:t>
      </w:r>
    </w:p>
    <w:p w14:paraId="4AD6247C" w14:textId="77777777" w:rsidR="004928EE" w:rsidRPr="004928EE" w:rsidRDefault="004928EE" w:rsidP="009B29D4">
      <w:pPr>
        <w:autoSpaceDE w:val="0"/>
        <w:autoSpaceDN w:val="0"/>
        <w:adjustRightInd w:val="0"/>
        <w:ind w:left="720"/>
        <w:rPr>
          <w:rFonts w:ascii="Arial" w:hAnsi="Arial" w:cs="Arial"/>
          <w:sz w:val="20"/>
          <w:szCs w:val="20"/>
        </w:rPr>
      </w:pPr>
    </w:p>
    <w:p w14:paraId="14427B52" w14:textId="77777777" w:rsidR="004928EE" w:rsidRPr="009B29D4" w:rsidRDefault="004928EE" w:rsidP="009B29D4">
      <w:pPr>
        <w:autoSpaceDE w:val="0"/>
        <w:autoSpaceDN w:val="0"/>
        <w:adjustRightInd w:val="0"/>
        <w:ind w:left="720"/>
        <w:rPr>
          <w:rFonts w:ascii="Arial" w:hAnsi="Arial" w:cs="Arial"/>
          <w:sz w:val="20"/>
          <w:szCs w:val="20"/>
          <w:u w:val="single"/>
        </w:rPr>
      </w:pPr>
      <w:r w:rsidRPr="009B29D4">
        <w:rPr>
          <w:rFonts w:ascii="Arial" w:hAnsi="Arial" w:cs="Arial"/>
          <w:sz w:val="20"/>
          <w:szCs w:val="20"/>
          <w:u w:val="single"/>
        </w:rPr>
        <w:t>Results</w:t>
      </w:r>
    </w:p>
    <w:p w14:paraId="5581BD33"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191 patients with baseline Cr</w:t>
      </w:r>
    </w:p>
    <w:p w14:paraId="6D442125" w14:textId="77777777" w:rsidR="004928EE"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1.5% developed CIN within 48 hours</w:t>
      </w:r>
    </w:p>
    <w:p w14:paraId="69B87D8D" w14:textId="77777777" w:rsidR="0015776B" w:rsidRPr="004928EE" w:rsidRDefault="004928EE" w:rsidP="009B29D4">
      <w:pPr>
        <w:autoSpaceDE w:val="0"/>
        <w:autoSpaceDN w:val="0"/>
        <w:adjustRightInd w:val="0"/>
        <w:ind w:left="720"/>
        <w:rPr>
          <w:rFonts w:ascii="Arial" w:hAnsi="Arial" w:cs="Arial"/>
          <w:sz w:val="20"/>
          <w:szCs w:val="20"/>
        </w:rPr>
      </w:pPr>
      <w:r w:rsidRPr="004928EE">
        <w:rPr>
          <w:rFonts w:ascii="Arial" w:hAnsi="Arial" w:cs="Arial"/>
          <w:sz w:val="20"/>
          <w:szCs w:val="20"/>
        </w:rPr>
        <w:t>Additional CTA was obtained in 44 patients, none of which developed CIN.</w:t>
      </w:r>
    </w:p>
    <w:p w14:paraId="65B586D4" w14:textId="77777777" w:rsidR="007D2202" w:rsidRPr="004928EE" w:rsidRDefault="007D2202" w:rsidP="004928EE">
      <w:pPr>
        <w:autoSpaceDE w:val="0"/>
        <w:autoSpaceDN w:val="0"/>
        <w:adjustRightInd w:val="0"/>
        <w:rPr>
          <w:rFonts w:ascii="Arial" w:hAnsi="Arial" w:cs="Arial"/>
          <w:b/>
        </w:rPr>
      </w:pPr>
    </w:p>
    <w:p w14:paraId="00024F7B" w14:textId="77777777" w:rsidR="0005664C" w:rsidRPr="004928EE" w:rsidRDefault="0005664C" w:rsidP="007D2202">
      <w:pPr>
        <w:autoSpaceDE w:val="0"/>
        <w:autoSpaceDN w:val="0"/>
        <w:adjustRightInd w:val="0"/>
        <w:rPr>
          <w:rFonts w:ascii="Arial" w:hAnsi="Arial" w:cs="Arial"/>
          <w:b/>
        </w:rPr>
      </w:pPr>
    </w:p>
    <w:p w14:paraId="73AFDAB4" w14:textId="77777777" w:rsidR="007D2202" w:rsidRPr="00063D34" w:rsidRDefault="007D2202" w:rsidP="007D2202">
      <w:pPr>
        <w:autoSpaceDE w:val="0"/>
        <w:autoSpaceDN w:val="0"/>
        <w:adjustRightInd w:val="0"/>
        <w:rPr>
          <w:rFonts w:cs="Arial"/>
        </w:rPr>
      </w:pPr>
      <w:r w:rsidRPr="00A349BE">
        <w:rPr>
          <w:rFonts w:cs="Arial"/>
          <w:b/>
          <w:u w:val="single"/>
        </w:rPr>
        <w:t>Responsibility:</w:t>
      </w:r>
      <w:r w:rsidRPr="00A349BE">
        <w:rPr>
          <w:rFonts w:cs="Arial"/>
        </w:rPr>
        <w:t xml:space="preserve">  </w:t>
      </w:r>
      <w:r w:rsidR="000C76DA" w:rsidRPr="00063D34">
        <w:rPr>
          <w:rFonts w:cs="Arial"/>
        </w:rPr>
        <w:t>MD, RN, Radiologist, radiology tech, Lab, Pharmacy</w:t>
      </w:r>
    </w:p>
    <w:p w14:paraId="3C660E00" w14:textId="77777777" w:rsidR="007D2202" w:rsidRPr="00063D34" w:rsidRDefault="007D2202" w:rsidP="007D2202">
      <w:pPr>
        <w:autoSpaceDE w:val="0"/>
        <w:autoSpaceDN w:val="0"/>
        <w:adjustRightInd w:val="0"/>
        <w:rPr>
          <w:rFonts w:cs="Arial"/>
        </w:rPr>
      </w:pPr>
    </w:p>
    <w:p w14:paraId="3233D8EA" w14:textId="77777777" w:rsidR="007D2202" w:rsidRPr="00063D34" w:rsidRDefault="007D2202" w:rsidP="007D2202">
      <w:pPr>
        <w:autoSpaceDE w:val="0"/>
        <w:autoSpaceDN w:val="0"/>
        <w:adjustRightInd w:val="0"/>
        <w:rPr>
          <w:rFonts w:cs="Arial"/>
        </w:rPr>
      </w:pPr>
      <w:r w:rsidRPr="00063D34">
        <w:rPr>
          <w:rFonts w:cs="Arial"/>
          <w:b/>
          <w:u w:val="single"/>
        </w:rPr>
        <w:t>Forms:</w:t>
      </w:r>
      <w:r w:rsidRPr="00063D34">
        <w:rPr>
          <w:rFonts w:cs="Arial"/>
        </w:rPr>
        <w:t xml:space="preserve">  </w:t>
      </w:r>
      <w:r w:rsidR="000C76DA" w:rsidRPr="00063D34">
        <w:rPr>
          <w:rFonts w:cs="Arial"/>
        </w:rPr>
        <w:t>tPA consent, tPA information sheet, IR consent</w:t>
      </w:r>
    </w:p>
    <w:p w14:paraId="0A15445B" w14:textId="77777777" w:rsidR="0005664C" w:rsidRPr="00063D34" w:rsidRDefault="0005664C" w:rsidP="007D2202">
      <w:pPr>
        <w:autoSpaceDE w:val="0"/>
        <w:autoSpaceDN w:val="0"/>
        <w:adjustRightInd w:val="0"/>
        <w:rPr>
          <w:rStyle w:val="Strong"/>
          <w:rFonts w:cs="Arial"/>
        </w:rPr>
      </w:pPr>
    </w:p>
    <w:p w14:paraId="6CEC0523" w14:textId="77777777" w:rsidR="007D2202" w:rsidRPr="00A349BE" w:rsidRDefault="007D2202" w:rsidP="007D2202">
      <w:pPr>
        <w:autoSpaceDE w:val="0"/>
        <w:autoSpaceDN w:val="0"/>
        <w:adjustRightInd w:val="0"/>
        <w:rPr>
          <w:rFonts w:cs="Arial"/>
          <w:b/>
          <w:bCs/>
          <w:u w:val="single"/>
        </w:rPr>
      </w:pPr>
      <w:r w:rsidRPr="00063D34">
        <w:rPr>
          <w:rFonts w:cs="Arial"/>
          <w:b/>
          <w:bCs/>
          <w:u w:val="single"/>
        </w:rPr>
        <w:t>Other Related Policies:</w:t>
      </w:r>
      <w:r w:rsidR="000C76DA" w:rsidRPr="00063D34">
        <w:rPr>
          <w:rFonts w:cs="Arial"/>
          <w:b/>
          <w:bCs/>
          <w:u w:val="single"/>
        </w:rPr>
        <w:t xml:space="preserve"> </w:t>
      </w:r>
      <w:r w:rsidR="000C76DA" w:rsidRPr="00063D34">
        <w:rPr>
          <w:rFonts w:cs="Arial"/>
          <w:bCs/>
        </w:rPr>
        <w:t>IA Stroke Protocol,</w:t>
      </w:r>
      <w:r w:rsidR="000C76DA" w:rsidRPr="0008659C">
        <w:rPr>
          <w:rFonts w:cs="Arial"/>
          <w:bCs/>
        </w:rPr>
        <w:t xml:space="preserve"> </w:t>
      </w:r>
    </w:p>
    <w:p w14:paraId="358E04C1" w14:textId="77777777" w:rsidR="0005664C" w:rsidRDefault="0005664C" w:rsidP="007D2202">
      <w:pPr>
        <w:pStyle w:val="Default"/>
        <w:rPr>
          <w:rFonts w:ascii="Arial" w:hAnsi="Arial" w:cs="Arial"/>
        </w:rPr>
      </w:pPr>
    </w:p>
    <w:p w14:paraId="24592F77" w14:textId="77777777" w:rsidR="000C76DA" w:rsidRDefault="007D2202" w:rsidP="000C76DA">
      <w:pPr>
        <w:pStyle w:val="citation"/>
        <w:shd w:val="clear" w:color="auto" w:fill="FFFFFF"/>
        <w:spacing w:before="0" w:beforeAutospacing="0" w:after="0" w:afterAutospacing="0"/>
        <w:rPr>
          <w:rFonts w:cs="Arial"/>
          <w:b/>
          <w:bCs/>
          <w:iCs/>
          <w:u w:val="single"/>
        </w:rPr>
      </w:pPr>
      <w:r w:rsidRPr="00B0398C">
        <w:rPr>
          <w:rFonts w:cs="Arial"/>
          <w:b/>
          <w:bCs/>
          <w:iCs/>
          <w:u w:val="single"/>
        </w:rPr>
        <w:t xml:space="preserve">References: </w:t>
      </w:r>
    </w:p>
    <w:p w14:paraId="0C7EA96C" w14:textId="77777777" w:rsidR="0008659C" w:rsidRPr="000C76DA" w:rsidRDefault="0008659C" w:rsidP="000C76DA">
      <w:pPr>
        <w:pStyle w:val="citation"/>
        <w:shd w:val="clear" w:color="auto" w:fill="FFFFFF"/>
        <w:spacing w:before="0" w:beforeAutospacing="0" w:after="0" w:afterAutospacing="0"/>
        <w:rPr>
          <w:rFonts w:ascii="Arial" w:hAnsi="Arial" w:cs="Arial"/>
          <w:sz w:val="20"/>
          <w:szCs w:val="20"/>
        </w:rPr>
      </w:pPr>
    </w:p>
    <w:p w14:paraId="723648C2"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 xml:space="preserve">Abou-Chebl A, Lin R, Hussain MS, Jovin TG, Levy EI, Liebeskind DS, Yoo AJ, Hsu DP, Rymer MM, Tayal AH, Zaidat OO, Natarajan SK, Nogueira RG, Nanda A, Tian M, Hao Q, Kalia JS, Nguyen TN, Chen M, Gupta R. Conscious sedation versus general an-esthesia during endovascular therapy for acute anterior circulation stroke: preliminary results from a retrospective, multicenter study. Stroke 2010;41:1175-9. </w:t>
      </w:r>
    </w:p>
    <w:p w14:paraId="279220FB"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 xml:space="preserve">Broderick JP, Palesch YY, Demchuk AM, Yeatts SD, Khatri P, Hill MD, Jauch EC, Jo-vin TG, Yan B, Silver FL, von Kummer R, Molina CA, Demaerschalk BM, Budzik R, Clark WM, Zaidat OO, Malisch TW, Goyal M, Schonewille WJ, Mazighi M, Engelter ST, Anderson C, Spilker J, Carrozzella J, Ryckborst KJ, Janis LS, Martin RH, Foster LD, Tomsick TA; Interventional Management of Stroke (IMS) III Investigators. Endo-vascular therapy after intravenous t-PA versus t-PA alone for stroke. N Engl J Med. 2013;368(10):893-903. </w:t>
      </w:r>
    </w:p>
    <w:p w14:paraId="2C08033E"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Davalos A, Blanco M, Pedraza S, Leira R, Castellanos M, Pumar JM, Silva Y, Serena J, Castillo J. Clinical DWI Mismatch. Neurology 2004;62:2187=02.</w:t>
      </w:r>
    </w:p>
    <w:p w14:paraId="4A7134FE"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Jovin T, Liebeskind DS, Gupta R, Rymer M, Rai A, Zaidat OO, Abou-Chebl A, Baxter B, Levi EI, Barreto A, Nogueiera RG. Imaging based endovascular therpay for acute ischemic stroke due to proximal intracranial anterior circulation occlusion treated be-yond 8 hours from time last seen well: retrospective multicenter analysis of 237 patients. Stroke 2011;42:2206-2211.</w:t>
      </w:r>
    </w:p>
    <w:p w14:paraId="740ADB72"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Jovin, T. G., Gupta, R., Uchino, K., Jungreis, C. A., Wechsler, L. R., Hammer, M. D., Tayal, A., and Horowitz, M. B. (2005). Emergent stenting of extracranial internal ca-rotid artery occlusion in acute stroke has a high revascularization rate. Stroke 36, 2426–2430.</w:t>
      </w:r>
    </w:p>
    <w:p w14:paraId="5F91A92F"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 xml:space="preserve">Kase, C. S., Furlan, A. J., Wechsler, L. R., Higashida, R. T., Rowley, H. A., Hart, R. G., Molinari, G. F., Frederick, L. S., Roberts, H. C., Gebel, J. M., Sila, C. A., Schulz, G. A., Roberts, R. S., and </w:t>
      </w:r>
      <w:r w:rsidRPr="0008659C">
        <w:rPr>
          <w:rFonts w:ascii="Arial" w:hAnsi="Arial" w:cs="Arial"/>
          <w:bCs/>
          <w:iCs/>
          <w:sz w:val="20"/>
          <w:szCs w:val="20"/>
        </w:rPr>
        <w:lastRenderedPageBreak/>
        <w:t>Gent, M. Cerebral hemorrhage after intra-arterial thrombolysis for ischemic stroke: the PROACT II trial. Neurology 2001;57, 1603–1610.</w:t>
      </w:r>
    </w:p>
    <w:p w14:paraId="72146B2E"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Khatri P, Broderick JP, Khoury JC, Carrozzella JA, Tomsick TA for the IMS I and II investigators. Microcatheter Contrast Injections During Intra-Arterial Thrombolysis May Increase Intracranial Hemorrhage Risk. Stroke 2008;39:3283-87</w:t>
      </w:r>
    </w:p>
    <w:p w14:paraId="1460AE43"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Kidwell CS, Jahan R, Gornbein J, Alger JR, Nenov V, Ajani Z, Feng L, Meyer BC, Ol-son S, Schwamm LH, Yoo AJ, Marshall RS, Meyers PM, Yavagal DR, Wintermark M, Guzy J, Starkman S, Saver JL; MR RESCUE Investigators. A trial of imaging selection and endovascular treatment for ischemic stroke. N Engl J Med. 2013;368(10):914-23.</w:t>
      </w:r>
    </w:p>
    <w:p w14:paraId="5C09FF34" w14:textId="77777777" w:rsid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Nogueira RG, Lutsep HL, Gupta R, Jovin TG, Albers GW, Walker GA, Liebeskind DS, Smith WS; TREVO 2 Trialists. Trevo versus Merci retrievers for thrombectomy revas-cularisation of large vessel occlusions in acute ischaemic stroke (TREVO 2): a random-ised trial. Lancet 2012;380(9849):1231-40.</w:t>
      </w:r>
    </w:p>
    <w:p w14:paraId="07237D7B" w14:textId="25D2BED0" w:rsidR="000153F9" w:rsidRPr="0008659C" w:rsidRDefault="000153F9" w:rsidP="00077831">
      <w:pPr>
        <w:spacing w:after="100" w:afterAutospacing="1" w:line="276" w:lineRule="auto"/>
        <w:rPr>
          <w:rFonts w:ascii="Arial" w:hAnsi="Arial" w:cs="Arial"/>
          <w:bCs/>
          <w:iCs/>
          <w:sz w:val="20"/>
          <w:szCs w:val="20"/>
        </w:rPr>
      </w:pPr>
      <w:r w:rsidRPr="000153F9">
        <w:rPr>
          <w:rFonts w:ascii="Arial" w:hAnsi="Arial" w:cs="Arial"/>
          <w:bCs/>
          <w:iCs/>
          <w:sz w:val="20"/>
          <w:szCs w:val="20"/>
        </w:rPr>
        <w:t>Nguyen TN, Malisch T, Castonguay AC, Gupta R, Sun CHJ, Martin CO, ... Zaidat, O. O. (2014). Balloon guide catheter improves revascularization and clinical outcomes with the solitaire device: Analysis of the north american solitaire acute stroke registry. Stroke, 45(1), 141-145. DOI: 10.1161/STROKEAHA.113.002407</w:t>
      </w:r>
      <w:bookmarkStart w:id="0" w:name="_GoBack"/>
      <w:bookmarkEnd w:id="0"/>
    </w:p>
    <w:p w14:paraId="069056F2"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Rha, J. H., and Saver, J. L. (2007). The impact of recanalization on ischemic stroke out-come: a meta-analysis. Stroke 38, 967–973.</w:t>
      </w:r>
    </w:p>
    <w:p w14:paraId="6A64285A"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Saver JL, Jahan R, Levy EI, Jovin TG, Baxter B, Nogueira RG, Clark W, Budzik R, Zaidat OO; SWIFT Trialists. Solitaire flow restoration device versus the Merci Retriev-er in patients with acute ischaemic stroke (SWIFT): a randomised, parallel-group, non-inferiority trial. Lancet 2012;380(9849):1241-9.</w:t>
      </w:r>
    </w:p>
    <w:p w14:paraId="1F6CE581"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Lima FO, lev MH, Levy RA et al. Functional contrast-induced CT for evaluation of acute ischemic stroke does not increase the risk of contrast-induced nephropathy. AJNR 2010 31:817-821</w:t>
      </w:r>
    </w:p>
    <w:p w14:paraId="2FAD536A"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Berkhemer OA, Fransen PS, Beumer D, van den Berg LA, Lingsma HF, Yoo AJ, Schonewille WJ, Vos JA, Nederkoorn PJ, Wermer MJ, van Walderveen MA, Staals J, Hofmeijer J, van Oostayen JA, Lycklama à Nijeholt GJ, Boiten J, Brouwer PA, Emmer BJ, de Bruijn SF, van Dijk LC, Kappelle LJ, Lo RH, van Dijk EJ, de Vries J, de Kort PL, van Rooij WJ, van den Berg JS, van Hasselt BA, Aerden LA, Dallinga RJ, Visser MC, Bot JC, Vroomen PC, Eshghi O, Schreuder TH, Heijboer RJ, Keizer K, Tielbeek AV, den Hertog HM, Gerrits DG, van den Berg-Vos RM, Karas GB, Steyerberg EW, Flach HZ, Marquering HA, Sprengers ME, Jenniskens SF, Beenen LF, van den Berg R, Koudstaal PJ, van Zwam WH, Roos YB, van der Lugt A, van Oostenbrugge RJ, Majoie CB, Dippel DW; MR CLEAN Investigators. N Engl J Med. 2015 Jan 1;372(1):11-20. doi: 10.1056/NEJMoa1411587. Epub 2014 Dec 17. Erratum in: N Engl J Med. 2015 Jan 22;372(4):394.</w:t>
      </w:r>
    </w:p>
    <w:p w14:paraId="2765E346"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 xml:space="preserve">Goyal M, Demchuk AM, Menon BK, Eesa M, Rempel JL, Thornton J, Roy D, Jovin TG, Willinsky RA, Sapkota BL, Dowlatshahi D, Frei DF, Kamal NR, Montanera WJ, Poppe AY, Ryckborst KJ, </w:t>
      </w:r>
      <w:r w:rsidRPr="0008659C">
        <w:rPr>
          <w:rFonts w:ascii="Arial" w:hAnsi="Arial" w:cs="Arial"/>
          <w:bCs/>
          <w:iCs/>
          <w:sz w:val="20"/>
          <w:szCs w:val="20"/>
        </w:rPr>
        <w:lastRenderedPageBreak/>
        <w:t>Silver FL, Shuaib A, Tampieri D, Williams D, Bang OY, Bax-ter BW, Burns PA, Choe H, Heo JH, Holmstedt CA, Jankowitz B, Kelly M, Linares G, Mandzia JL, Shankar J, Sohn SI, Swartz RH, Barber PA, Coutts SB, Smith EE, Morrish WF, Weill A, Subramaniam S, Mitha AP, Wong JH, Lowerison MW, Sajobi TT, Hill MD; the ESCAPE Trial Investigators.</w:t>
      </w:r>
      <w:r>
        <w:rPr>
          <w:rFonts w:ascii="Arial" w:hAnsi="Arial" w:cs="Arial"/>
          <w:bCs/>
          <w:iCs/>
          <w:sz w:val="20"/>
          <w:szCs w:val="20"/>
        </w:rPr>
        <w:t xml:space="preserve"> </w:t>
      </w:r>
      <w:r w:rsidRPr="0008659C">
        <w:rPr>
          <w:rFonts w:ascii="Arial" w:hAnsi="Arial" w:cs="Arial"/>
          <w:bCs/>
          <w:iCs/>
          <w:sz w:val="20"/>
          <w:szCs w:val="20"/>
        </w:rPr>
        <w:t>N Engl J Med. 2015 Feb 11.</w:t>
      </w:r>
    </w:p>
    <w:p w14:paraId="0ACCBF23" w14:textId="77777777" w:rsidR="0008659C"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Campbell BC, Mitchell PJ, Kleinig TJ, Dewey HM, Churilov L, Yassi N, Yan B, Dowling RJ, Parsons MW, Oxley TJ, Wu TY, Brooks M, Simpson MA, Miteff F, Levi CR, Krause M, Harrington TJ, Faulder KC, Steinfort BS, Priglinger M, Ang T, Scroop R, Barber PA, McGuinness B, Wijeratne T, Phan TG, Chong W, Chandra RV, Bladin CF, Badve M, Rice H, de Villiers L, Ma H, Desmond PM, Donnan GA, Davis SM; the EXTEND-IA Investigators.</w:t>
      </w:r>
      <w:r>
        <w:rPr>
          <w:rFonts w:ascii="Arial" w:hAnsi="Arial" w:cs="Arial"/>
          <w:bCs/>
          <w:iCs/>
          <w:sz w:val="20"/>
          <w:szCs w:val="20"/>
        </w:rPr>
        <w:t xml:space="preserve"> </w:t>
      </w:r>
      <w:r w:rsidRPr="0008659C">
        <w:rPr>
          <w:rFonts w:ascii="Arial" w:hAnsi="Arial" w:cs="Arial"/>
          <w:bCs/>
          <w:iCs/>
          <w:sz w:val="20"/>
          <w:szCs w:val="20"/>
        </w:rPr>
        <w:t>N Engl J Med. 2015 Feb 11.</w:t>
      </w:r>
    </w:p>
    <w:p w14:paraId="6BCD58DC" w14:textId="77777777" w:rsidR="007D2202" w:rsidRPr="0008659C" w:rsidRDefault="0008659C" w:rsidP="00077831">
      <w:pPr>
        <w:spacing w:after="100" w:afterAutospacing="1" w:line="276" w:lineRule="auto"/>
        <w:rPr>
          <w:rFonts w:ascii="Arial" w:hAnsi="Arial" w:cs="Arial"/>
          <w:bCs/>
          <w:iCs/>
          <w:sz w:val="20"/>
          <w:szCs w:val="20"/>
        </w:rPr>
      </w:pPr>
      <w:r w:rsidRPr="0008659C">
        <w:rPr>
          <w:rFonts w:ascii="Arial" w:hAnsi="Arial" w:cs="Arial"/>
          <w:bCs/>
          <w:iCs/>
          <w:sz w:val="20"/>
          <w:szCs w:val="20"/>
        </w:rPr>
        <w:t>Primary results of SWIFT PRIME. J. Saver, M. Goyal, A. Bonafé, H. Diener, E. Levy, V. Mendes-Pereira, G. Albers, C. Cognard, D. Cohen, W. Hacke, O. Jansen, T. Jovin, H. Mat-tle, R. Nogueira, A. Siddiqui, D. Yavagal, T. Devlin, D. Lopes, V. Reddy, R. du Mesnil de Rochemont and R. Jahan for the SWIFT PRIME Investigators. Invited presentation, Inter-national Stroke Conference Nashville, TN. February 11, 2015.</w:t>
      </w:r>
    </w:p>
    <w:p w14:paraId="3FD6E423" w14:textId="77777777" w:rsidR="007D2202" w:rsidRPr="00A349BE" w:rsidRDefault="007D2202" w:rsidP="007D2202">
      <w:pPr>
        <w:pStyle w:val="Default"/>
        <w:rPr>
          <w:rFonts w:ascii="Arial" w:hAnsi="Arial" w:cs="Arial"/>
        </w:rPr>
      </w:pPr>
    </w:p>
    <w:p w14:paraId="31FAE211" w14:textId="77777777" w:rsidR="007D2202" w:rsidRPr="00454792" w:rsidRDefault="007D2202" w:rsidP="007D2202">
      <w:pPr>
        <w:autoSpaceDE w:val="0"/>
        <w:autoSpaceDN w:val="0"/>
        <w:adjustRightInd w:val="0"/>
        <w:rPr>
          <w:bCs/>
        </w:rPr>
      </w:pPr>
    </w:p>
    <w:p w14:paraId="00BF675E" w14:textId="77777777" w:rsidR="0005664C" w:rsidRPr="0005664C" w:rsidRDefault="0005664C" w:rsidP="0005664C">
      <w:pPr>
        <w:pStyle w:val="Heading4"/>
        <w:spacing w:before="0" w:line="360" w:lineRule="auto"/>
        <w:rPr>
          <w:sz w:val="24"/>
          <w:szCs w:val="24"/>
        </w:rPr>
      </w:pPr>
      <w:r w:rsidRPr="0005664C">
        <w:rPr>
          <w:sz w:val="24"/>
          <w:szCs w:val="24"/>
        </w:rPr>
        <w:t xml:space="preserve">Section: </w:t>
      </w:r>
    </w:p>
    <w:p w14:paraId="49ED35AC" w14:textId="77777777" w:rsidR="0005664C" w:rsidRPr="0005664C" w:rsidRDefault="0005664C" w:rsidP="0005664C">
      <w:pPr>
        <w:spacing w:line="360" w:lineRule="auto"/>
      </w:pPr>
      <w:r w:rsidRPr="0005664C">
        <w:rPr>
          <w:b/>
        </w:rPr>
        <w:t xml:space="preserve">Policy No.: </w:t>
      </w:r>
    </w:p>
    <w:p w14:paraId="2C30EDFD" w14:textId="77777777" w:rsidR="0005664C" w:rsidRPr="0005664C" w:rsidRDefault="0005664C" w:rsidP="0005664C">
      <w:pPr>
        <w:spacing w:line="360" w:lineRule="auto"/>
      </w:pPr>
      <w:r w:rsidRPr="0005664C">
        <w:rPr>
          <w:b/>
        </w:rPr>
        <w:t>Title</w:t>
      </w:r>
      <w:r w:rsidRPr="0005664C">
        <w:t xml:space="preserve">: </w:t>
      </w:r>
      <w:r w:rsidR="00815FEC">
        <w:t xml:space="preserve">Acute </w:t>
      </w:r>
      <w:r w:rsidR="0008659C">
        <w:t xml:space="preserve">Intra-Arterial </w:t>
      </w:r>
      <w:r w:rsidR="00815FEC">
        <w:t>Stroke Guideline</w:t>
      </w:r>
    </w:p>
    <w:p w14:paraId="6C26D46E" w14:textId="2DFD8768" w:rsidR="0005664C" w:rsidRPr="0005664C" w:rsidRDefault="0005664C" w:rsidP="0005664C">
      <w:pPr>
        <w:spacing w:line="360" w:lineRule="auto"/>
      </w:pPr>
      <w:r w:rsidRPr="0005664C">
        <w:rPr>
          <w:b/>
        </w:rPr>
        <w:t>Initiated by</w:t>
      </w:r>
      <w:r w:rsidRPr="00063D34">
        <w:rPr>
          <w:b/>
        </w:rPr>
        <w:t>:</w:t>
      </w:r>
      <w:r w:rsidRPr="00063D34">
        <w:t xml:space="preserve"> </w:t>
      </w:r>
      <w:r w:rsidR="0008659C" w:rsidRPr="00063D34">
        <w:t>Than</w:t>
      </w:r>
      <w:r w:rsidR="00063D34" w:rsidRPr="00063D34">
        <w:t>h</w:t>
      </w:r>
      <w:r w:rsidR="0008659C" w:rsidRPr="00063D34">
        <w:t xml:space="preserve"> Nguyen, MD</w:t>
      </w:r>
    </w:p>
    <w:p w14:paraId="28B071C7" w14:textId="22B41B97" w:rsidR="0005664C" w:rsidRPr="00761F4F" w:rsidRDefault="0005664C" w:rsidP="0005664C">
      <w:pPr>
        <w:pStyle w:val="Heading4"/>
        <w:spacing w:before="0"/>
        <w:rPr>
          <w:b w:val="0"/>
          <w:sz w:val="24"/>
          <w:szCs w:val="24"/>
        </w:rPr>
      </w:pPr>
      <w:r w:rsidRPr="0005664C">
        <w:rPr>
          <w:sz w:val="24"/>
          <w:szCs w:val="24"/>
          <w:u w:val="single"/>
        </w:rPr>
        <w:t>Contributing Departments:</w:t>
      </w:r>
      <w:r w:rsidR="00063D34">
        <w:rPr>
          <w:b w:val="0"/>
          <w:sz w:val="24"/>
          <w:szCs w:val="24"/>
        </w:rPr>
        <w:t xml:space="preserve"> Stroke and </w:t>
      </w:r>
      <w:r w:rsidR="00761F4F">
        <w:rPr>
          <w:b w:val="0"/>
          <w:sz w:val="24"/>
          <w:szCs w:val="24"/>
        </w:rPr>
        <w:t>Neuro</w:t>
      </w:r>
      <w:r w:rsidR="00063D34">
        <w:rPr>
          <w:b w:val="0"/>
          <w:sz w:val="24"/>
          <w:szCs w:val="24"/>
        </w:rPr>
        <w:t>interventional Services, Neurocritical Care</w:t>
      </w:r>
    </w:p>
    <w:p w14:paraId="1409B5D7" w14:textId="77777777" w:rsidR="007D2202" w:rsidRPr="008143A2" w:rsidRDefault="007D2202" w:rsidP="007D2202">
      <w:pPr>
        <w:rPr>
          <w:sz w:val="28"/>
          <w:szCs w:val="28"/>
        </w:rPr>
      </w:pPr>
    </w:p>
    <w:p w14:paraId="5391A4B6" w14:textId="77777777" w:rsidR="00D33507" w:rsidRDefault="00D33507" w:rsidP="00D33507">
      <w:pPr>
        <w:pStyle w:val="Caption"/>
      </w:pPr>
    </w:p>
    <w:sectPr w:rsidR="00D33507">
      <w:headerReference w:type="default" r:id="rId9"/>
      <w:footerReference w:type="default" r:id="rId10"/>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785FD" w14:textId="77777777" w:rsidR="0006100D" w:rsidRDefault="0006100D" w:rsidP="00B45591">
      <w:r>
        <w:separator/>
      </w:r>
    </w:p>
  </w:endnote>
  <w:endnote w:type="continuationSeparator" w:id="0">
    <w:p w14:paraId="548675EB" w14:textId="77777777" w:rsidR="0006100D" w:rsidRDefault="0006100D" w:rsidP="00B4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6FAAD" w14:textId="77777777" w:rsidR="004C721B" w:rsidRPr="004C721B" w:rsidRDefault="007D2202" w:rsidP="007D2202">
    <w:pPr>
      <w:pStyle w:val="Footer"/>
      <w:tabs>
        <w:tab w:val="left" w:pos="3600"/>
        <w:tab w:val="left" w:pos="5040"/>
        <w:tab w:val="left" w:pos="6480"/>
      </w:tabs>
      <w:rPr>
        <w:sz w:val="20"/>
        <w:szCs w:val="20"/>
      </w:rPr>
    </w:pPr>
    <w:r>
      <w:rPr>
        <w:sz w:val="20"/>
        <w:szCs w:val="20"/>
      </w:rPr>
      <w:t>Section #</w:t>
    </w:r>
    <w:r>
      <w:rPr>
        <w:sz w:val="20"/>
        <w:szCs w:val="20"/>
      </w:rPr>
      <w:tab/>
    </w:r>
    <w:r w:rsidR="00884294">
      <w:rPr>
        <w:sz w:val="20"/>
        <w:szCs w:val="20"/>
      </w:rPr>
      <w:t xml:space="preserve">                                                   </w:t>
    </w:r>
    <w:r w:rsidR="004C721B" w:rsidRPr="004C721B">
      <w:rPr>
        <w:sz w:val="20"/>
        <w:szCs w:val="20"/>
      </w:rPr>
      <w:t xml:space="preserve">Policy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A92FC" w14:textId="77777777" w:rsidR="0006100D" w:rsidRDefault="0006100D" w:rsidP="00B45591">
      <w:r>
        <w:separator/>
      </w:r>
    </w:p>
  </w:footnote>
  <w:footnote w:type="continuationSeparator" w:id="0">
    <w:p w14:paraId="585D613C" w14:textId="77777777" w:rsidR="0006100D" w:rsidRDefault="0006100D" w:rsidP="00B4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25A9" w14:textId="77777777" w:rsidR="00D33507" w:rsidRDefault="004249A3" w:rsidP="00D33507">
    <w:pPr>
      <w:pStyle w:val="Header"/>
      <w:tabs>
        <w:tab w:val="clear" w:pos="4320"/>
        <w:tab w:val="clear" w:pos="8640"/>
        <w:tab w:val="left" w:pos="3210"/>
      </w:tabs>
      <w:rPr>
        <w:b/>
        <w:sz w:val="28"/>
      </w:rPr>
    </w:pPr>
    <w:r>
      <w:rPr>
        <w:b/>
        <w:noProof/>
        <w:sz w:val="28"/>
      </w:rPr>
      <mc:AlternateContent>
        <mc:Choice Requires="wps">
          <w:drawing>
            <wp:anchor distT="0" distB="0" distL="114300" distR="114300" simplePos="0" relativeHeight="251657728" behindDoc="0" locked="0" layoutInCell="1" allowOverlap="1" wp14:anchorId="6A0FA17C" wp14:editId="74B2F121">
              <wp:simplePos x="0" y="0"/>
              <wp:positionH relativeFrom="column">
                <wp:posOffset>4114800</wp:posOffset>
              </wp:positionH>
              <wp:positionV relativeFrom="paragraph">
                <wp:posOffset>114300</wp:posOffset>
              </wp:positionV>
              <wp:extent cx="647700"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96C16" w14:textId="77777777" w:rsidR="00D33507" w:rsidRPr="00D73760" w:rsidRDefault="00D33507" w:rsidP="00D33507">
                          <w:pPr>
                            <w:rPr>
                              <w:sz w:val="20"/>
                              <w:szCs w:val="20"/>
                            </w:rPr>
                          </w:pPr>
                          <w:r w:rsidRPr="00D73760">
                            <w:rPr>
                              <w:rStyle w:val="PageNumber"/>
                              <w:sz w:val="20"/>
                              <w:szCs w:val="20"/>
                            </w:rPr>
                            <w:t xml:space="preserve">Page: </w:t>
                          </w:r>
                          <w:r w:rsidRPr="00D73760">
                            <w:rPr>
                              <w:rStyle w:val="PageNumber"/>
                              <w:sz w:val="20"/>
                              <w:szCs w:val="20"/>
                            </w:rPr>
                            <w:fldChar w:fldCharType="begin"/>
                          </w:r>
                          <w:r w:rsidRPr="00D73760">
                            <w:rPr>
                              <w:rStyle w:val="PageNumber"/>
                              <w:sz w:val="20"/>
                              <w:szCs w:val="20"/>
                            </w:rPr>
                            <w:instrText xml:space="preserve"> PAGE </w:instrText>
                          </w:r>
                          <w:r w:rsidRPr="00D73760">
                            <w:rPr>
                              <w:rStyle w:val="PageNumber"/>
                              <w:sz w:val="20"/>
                              <w:szCs w:val="20"/>
                            </w:rPr>
                            <w:fldChar w:fldCharType="separate"/>
                          </w:r>
                          <w:r w:rsidR="000153F9">
                            <w:rPr>
                              <w:rStyle w:val="PageNumber"/>
                              <w:noProof/>
                              <w:sz w:val="20"/>
                              <w:szCs w:val="20"/>
                            </w:rPr>
                            <w:t>8</w:t>
                          </w:r>
                          <w:r w:rsidRPr="00D73760">
                            <w:rPr>
                              <w:rStyle w:val="PageNumbe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A17C" id="_x0000_t202" coordsize="21600,21600" o:spt="202" path="m,l,21600r21600,l21600,xe">
              <v:stroke joinstyle="miter"/>
              <v:path gradientshapeok="t" o:connecttype="rect"/>
            </v:shapetype>
            <v:shape id="Text Box 1" o:spid="_x0000_s1026" type="#_x0000_t202" style="position:absolute;margin-left:324pt;margin-top:9pt;width:51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MbsQIAALg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" filled="f" stroked="f">
              <v:textbox>
                <w:txbxContent>
                  <w:p w14:paraId="0FD96C16" w14:textId="77777777" w:rsidR="00D33507" w:rsidRPr="00D73760" w:rsidRDefault="00D33507" w:rsidP="00D33507">
                    <w:pPr>
                      <w:rPr>
                        <w:sz w:val="20"/>
                        <w:szCs w:val="20"/>
                      </w:rPr>
                    </w:pPr>
                    <w:r w:rsidRPr="00D73760">
                      <w:rPr>
                        <w:rStyle w:val="PageNumber"/>
                        <w:sz w:val="20"/>
                        <w:szCs w:val="20"/>
                      </w:rPr>
                      <w:t xml:space="preserve">Page: </w:t>
                    </w:r>
                    <w:r w:rsidRPr="00D73760">
                      <w:rPr>
                        <w:rStyle w:val="PageNumber"/>
                        <w:sz w:val="20"/>
                        <w:szCs w:val="20"/>
                      </w:rPr>
                      <w:fldChar w:fldCharType="begin"/>
                    </w:r>
                    <w:r w:rsidRPr="00D73760">
                      <w:rPr>
                        <w:rStyle w:val="PageNumber"/>
                        <w:sz w:val="20"/>
                        <w:szCs w:val="20"/>
                      </w:rPr>
                      <w:instrText xml:space="preserve"> PAGE </w:instrText>
                    </w:r>
                    <w:r w:rsidRPr="00D73760">
                      <w:rPr>
                        <w:rStyle w:val="PageNumber"/>
                        <w:sz w:val="20"/>
                        <w:szCs w:val="20"/>
                      </w:rPr>
                      <w:fldChar w:fldCharType="separate"/>
                    </w:r>
                    <w:r w:rsidR="000153F9">
                      <w:rPr>
                        <w:rStyle w:val="PageNumber"/>
                        <w:noProof/>
                        <w:sz w:val="20"/>
                        <w:szCs w:val="20"/>
                      </w:rPr>
                      <w:t>8</w:t>
                    </w:r>
                    <w:r w:rsidRPr="00D73760">
                      <w:rPr>
                        <w:rStyle w:val="PageNumber"/>
                        <w:sz w:val="20"/>
                        <w:szCs w:val="20"/>
                      </w:rPr>
                      <w:fldChar w:fldCharType="end"/>
                    </w:r>
                  </w:p>
                </w:txbxContent>
              </v:textbox>
            </v:shape>
          </w:pict>
        </mc:Fallback>
      </mc:AlternateContent>
    </w:r>
    <w:smartTag w:uri="urn:schemas-microsoft-com:office:smarttags" w:element="place">
      <w:smartTag w:uri="urn:schemas-microsoft-com:office:smarttags" w:element="PlaceName">
        <w:r w:rsidR="00D33507">
          <w:rPr>
            <w:b/>
            <w:sz w:val="28"/>
          </w:rPr>
          <w:t>Boston</w:t>
        </w:r>
      </w:smartTag>
      <w:r w:rsidR="00D33507">
        <w:rPr>
          <w:b/>
          <w:sz w:val="28"/>
        </w:rPr>
        <w:t xml:space="preserve"> </w:t>
      </w:r>
      <w:smartTag w:uri="urn:schemas-microsoft-com:office:smarttags" w:element="PlaceName">
        <w:r w:rsidR="00D33507">
          <w:rPr>
            <w:b/>
            <w:sz w:val="28"/>
          </w:rPr>
          <w:t>Medical</w:t>
        </w:r>
      </w:smartTag>
      <w:r w:rsidR="00D33507">
        <w:rPr>
          <w:b/>
          <w:sz w:val="28"/>
        </w:rPr>
        <w:t xml:space="preserve"> </w:t>
      </w:r>
      <w:smartTag w:uri="urn:schemas-microsoft-com:office:smarttags" w:element="PlaceType">
        <w:r w:rsidR="00D33507">
          <w:rPr>
            <w:b/>
            <w:sz w:val="28"/>
          </w:rPr>
          <w:t>Center</w:t>
        </w:r>
      </w:smartTag>
    </w:smartTag>
    <w:r w:rsidR="00D33507">
      <w:rPr>
        <w:b/>
        <w:sz w:val="28"/>
      </w:rPr>
      <w:tab/>
    </w:r>
  </w:p>
  <w:p w14:paraId="0DC3A954" w14:textId="77777777" w:rsidR="00D33507" w:rsidRDefault="00D33507" w:rsidP="00D33507">
    <w:pPr>
      <w:pStyle w:val="Header"/>
      <w:tabs>
        <w:tab w:val="clear" w:pos="4320"/>
      </w:tabs>
      <w:rPr>
        <w:b/>
        <w:sz w:val="28"/>
      </w:rPr>
    </w:pPr>
    <w:r>
      <w:rPr>
        <w:b/>
        <w:sz w:val="28"/>
      </w:rPr>
      <w:t>Policy and Procedure Manual</w:t>
    </w:r>
  </w:p>
  <w:p w14:paraId="2643A268" w14:textId="77777777" w:rsidR="00D33507" w:rsidRDefault="00D33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E54B17"/>
    <w:multiLevelType w:val="hybridMultilevel"/>
    <w:tmpl w:val="571CDA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6F9985"/>
    <w:multiLevelType w:val="hybridMultilevel"/>
    <w:tmpl w:val="110086DE"/>
    <w:lvl w:ilvl="0" w:tplc="FFFFFFFF">
      <w:start w:val="1"/>
      <w:numFmt w:val="decimal"/>
      <w:suff w:val="nothing"/>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67F432"/>
    <w:multiLevelType w:val="hybridMultilevel"/>
    <w:tmpl w:val="8956965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80A02"/>
    <w:multiLevelType w:val="hybridMultilevel"/>
    <w:tmpl w:val="5128FD84"/>
    <w:lvl w:ilvl="0" w:tplc="DB8C2BA2">
      <w:numFmt w:val="bullet"/>
      <w:lvlText w:val="•"/>
      <w:lvlJc w:val="left"/>
      <w:pPr>
        <w:ind w:left="720" w:hanging="360"/>
      </w:pPr>
      <w:rPr>
        <w:rFonts w:ascii="Garamond" w:hAnsi="Garamon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6EEB69"/>
    <w:multiLevelType w:val="hybridMultilevel"/>
    <w:tmpl w:val="97609C7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4708F1"/>
    <w:multiLevelType w:val="hybridMultilevel"/>
    <w:tmpl w:val="6C9863B2"/>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15:restartNumberingAfterBreak="0">
    <w:nsid w:val="07FF77C6"/>
    <w:multiLevelType w:val="hybridMultilevel"/>
    <w:tmpl w:val="7E3A0826"/>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8" w15:restartNumberingAfterBreak="0">
    <w:nsid w:val="09565C71"/>
    <w:multiLevelType w:val="hybridMultilevel"/>
    <w:tmpl w:val="24BCBA28"/>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9" w15:restartNumberingAfterBreak="0">
    <w:nsid w:val="0AD5B120"/>
    <w:multiLevelType w:val="hybridMultilevel"/>
    <w:tmpl w:val="1F90E29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57D4D4"/>
    <w:multiLevelType w:val="hybridMultilevel"/>
    <w:tmpl w:val="5A88273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206FCB"/>
    <w:multiLevelType w:val="hybridMultilevel"/>
    <w:tmpl w:val="D374A73C"/>
    <w:lvl w:ilvl="0" w:tplc="DB8C2BA2">
      <w:numFmt w:val="bullet"/>
      <w:lvlText w:val="•"/>
      <w:lvlJc w:val="left"/>
      <w:pPr>
        <w:ind w:left="720" w:hanging="360"/>
      </w:pPr>
      <w:rPr>
        <w:rFonts w:ascii="Garamond" w:hAnsi="Garamond"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416D9"/>
    <w:multiLevelType w:val="hybridMultilevel"/>
    <w:tmpl w:val="77A8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B79B5"/>
    <w:multiLevelType w:val="hybridMultilevel"/>
    <w:tmpl w:val="F7F2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86FAF"/>
    <w:multiLevelType w:val="hybridMultilevel"/>
    <w:tmpl w:val="C32268D2"/>
    <w:lvl w:ilvl="0" w:tplc="C004E1F0">
      <w:start w:val="1"/>
      <w:numFmt w:val="decimal"/>
      <w:lvlText w:val="%1."/>
      <w:lvlJc w:val="left"/>
      <w:pPr>
        <w:ind w:left="1772" w:hanging="360"/>
      </w:pPr>
      <w:rPr>
        <w:rFonts w:hint="default"/>
        <w:color w:val="000000"/>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15" w15:restartNumberingAfterBreak="0">
    <w:nsid w:val="218B5E3C"/>
    <w:multiLevelType w:val="hybridMultilevel"/>
    <w:tmpl w:val="F084F18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217EFB"/>
    <w:multiLevelType w:val="hybridMultilevel"/>
    <w:tmpl w:val="1C683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A46EE7"/>
    <w:multiLevelType w:val="hybridMultilevel"/>
    <w:tmpl w:val="A79EC67C"/>
    <w:lvl w:ilvl="0" w:tplc="DB8C2BA2">
      <w:numFmt w:val="bullet"/>
      <w:lvlText w:val="•"/>
      <w:lvlJc w:val="left"/>
      <w:pPr>
        <w:ind w:left="720" w:hanging="360"/>
      </w:pPr>
      <w:rPr>
        <w:rFonts w:ascii="Garamond" w:hAnsi="Garamon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171C4"/>
    <w:multiLevelType w:val="hybridMultilevel"/>
    <w:tmpl w:val="973A1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B13C5D"/>
    <w:multiLevelType w:val="hybridMultilevel"/>
    <w:tmpl w:val="33CA43B8"/>
    <w:lvl w:ilvl="0" w:tplc="3E4C4F36">
      <w:start w:val="3"/>
      <w:numFmt w:val="lowerRoman"/>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A3073F"/>
    <w:multiLevelType w:val="hybridMultilevel"/>
    <w:tmpl w:val="9A5A0A76"/>
    <w:lvl w:ilvl="0" w:tplc="0409000F">
      <w:start w:val="1"/>
      <w:numFmt w:val="decimal"/>
      <w:lvlText w:val="%1."/>
      <w:lvlJc w:val="left"/>
      <w:pPr>
        <w:tabs>
          <w:tab w:val="num" w:pos="360"/>
        </w:tabs>
        <w:ind w:left="360" w:hanging="360"/>
      </w:pPr>
      <w:rPr>
        <w:rFonts w:hint="default"/>
      </w:rPr>
    </w:lvl>
    <w:lvl w:ilvl="1" w:tplc="2454F558">
      <w:start w:val="1"/>
      <w:numFmt w:val="lowerLetter"/>
      <w:lvlText w:val="%2."/>
      <w:lvlJc w:val="left"/>
      <w:pPr>
        <w:tabs>
          <w:tab w:val="num" w:pos="1080"/>
        </w:tabs>
        <w:ind w:left="1080" w:hanging="360"/>
      </w:pPr>
      <w:rPr>
        <w:rFonts w:hint="default"/>
        <w:b w:val="0"/>
        <w:color w:val="auto"/>
      </w:rPr>
    </w:lvl>
    <w:lvl w:ilvl="2" w:tplc="1B0271E0">
      <w:start w:val="1"/>
      <w:numFmt w:val="lowerRoman"/>
      <w:lvlText w:val="%3."/>
      <w:lvlJc w:val="right"/>
      <w:pPr>
        <w:tabs>
          <w:tab w:val="num" w:pos="1800"/>
        </w:tabs>
        <w:ind w:left="1800" w:hanging="180"/>
      </w:pPr>
      <w:rPr>
        <w:color w:val="auto"/>
      </w:rPr>
    </w:lvl>
    <w:lvl w:ilvl="3" w:tplc="01D2178E">
      <w:start w:val="1"/>
      <w:numFmt w:val="decimal"/>
      <w:lvlText w:val="%4."/>
      <w:lvlJc w:val="left"/>
      <w:pPr>
        <w:tabs>
          <w:tab w:val="num" w:pos="2520"/>
        </w:tabs>
        <w:ind w:left="2520" w:hanging="360"/>
      </w:pPr>
      <w:rPr>
        <w:b w:val="0"/>
      </w:rPr>
    </w:lvl>
    <w:lvl w:ilvl="4" w:tplc="04090019">
      <w:start w:val="1"/>
      <w:numFmt w:val="lowerLetter"/>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2A2E700E"/>
    <w:multiLevelType w:val="hybridMultilevel"/>
    <w:tmpl w:val="47423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662C75"/>
    <w:multiLevelType w:val="hybridMultilevel"/>
    <w:tmpl w:val="952EA1CC"/>
    <w:lvl w:ilvl="0" w:tplc="04090001">
      <w:start w:val="1"/>
      <w:numFmt w:val="bullet"/>
      <w:lvlText w:val=""/>
      <w:lvlJc w:val="left"/>
      <w:pPr>
        <w:ind w:left="1385" w:hanging="360"/>
      </w:pPr>
      <w:rPr>
        <w:rFonts w:ascii="Symbol" w:hAnsi="Symbol" w:hint="default"/>
      </w:rPr>
    </w:lvl>
    <w:lvl w:ilvl="1" w:tplc="04090003" w:tentative="1">
      <w:start w:val="1"/>
      <w:numFmt w:val="bullet"/>
      <w:lvlText w:val="o"/>
      <w:lvlJc w:val="left"/>
      <w:pPr>
        <w:ind w:left="2105" w:hanging="360"/>
      </w:pPr>
      <w:rPr>
        <w:rFonts w:ascii="Courier New" w:hAnsi="Courier New" w:cs="Courier New" w:hint="default"/>
      </w:rPr>
    </w:lvl>
    <w:lvl w:ilvl="2" w:tplc="04090005" w:tentative="1">
      <w:start w:val="1"/>
      <w:numFmt w:val="bullet"/>
      <w:lvlText w:val=""/>
      <w:lvlJc w:val="left"/>
      <w:pPr>
        <w:ind w:left="2825" w:hanging="360"/>
      </w:pPr>
      <w:rPr>
        <w:rFonts w:ascii="Wingdings" w:hAnsi="Wingdings" w:hint="default"/>
      </w:rPr>
    </w:lvl>
    <w:lvl w:ilvl="3" w:tplc="04090001" w:tentative="1">
      <w:start w:val="1"/>
      <w:numFmt w:val="bullet"/>
      <w:lvlText w:val=""/>
      <w:lvlJc w:val="left"/>
      <w:pPr>
        <w:ind w:left="3545" w:hanging="360"/>
      </w:pPr>
      <w:rPr>
        <w:rFonts w:ascii="Symbol" w:hAnsi="Symbol" w:hint="default"/>
      </w:rPr>
    </w:lvl>
    <w:lvl w:ilvl="4" w:tplc="04090003" w:tentative="1">
      <w:start w:val="1"/>
      <w:numFmt w:val="bullet"/>
      <w:lvlText w:val="o"/>
      <w:lvlJc w:val="left"/>
      <w:pPr>
        <w:ind w:left="4265" w:hanging="360"/>
      </w:pPr>
      <w:rPr>
        <w:rFonts w:ascii="Courier New" w:hAnsi="Courier New" w:cs="Courier New" w:hint="default"/>
      </w:rPr>
    </w:lvl>
    <w:lvl w:ilvl="5" w:tplc="04090005" w:tentative="1">
      <w:start w:val="1"/>
      <w:numFmt w:val="bullet"/>
      <w:lvlText w:val=""/>
      <w:lvlJc w:val="left"/>
      <w:pPr>
        <w:ind w:left="4985" w:hanging="360"/>
      </w:pPr>
      <w:rPr>
        <w:rFonts w:ascii="Wingdings" w:hAnsi="Wingdings" w:hint="default"/>
      </w:rPr>
    </w:lvl>
    <w:lvl w:ilvl="6" w:tplc="04090001" w:tentative="1">
      <w:start w:val="1"/>
      <w:numFmt w:val="bullet"/>
      <w:lvlText w:val=""/>
      <w:lvlJc w:val="left"/>
      <w:pPr>
        <w:ind w:left="5705" w:hanging="360"/>
      </w:pPr>
      <w:rPr>
        <w:rFonts w:ascii="Symbol" w:hAnsi="Symbol" w:hint="default"/>
      </w:rPr>
    </w:lvl>
    <w:lvl w:ilvl="7" w:tplc="04090003" w:tentative="1">
      <w:start w:val="1"/>
      <w:numFmt w:val="bullet"/>
      <w:lvlText w:val="o"/>
      <w:lvlJc w:val="left"/>
      <w:pPr>
        <w:ind w:left="6425" w:hanging="360"/>
      </w:pPr>
      <w:rPr>
        <w:rFonts w:ascii="Courier New" w:hAnsi="Courier New" w:cs="Courier New" w:hint="default"/>
      </w:rPr>
    </w:lvl>
    <w:lvl w:ilvl="8" w:tplc="04090005" w:tentative="1">
      <w:start w:val="1"/>
      <w:numFmt w:val="bullet"/>
      <w:lvlText w:val=""/>
      <w:lvlJc w:val="left"/>
      <w:pPr>
        <w:ind w:left="7145" w:hanging="360"/>
      </w:pPr>
      <w:rPr>
        <w:rFonts w:ascii="Wingdings" w:hAnsi="Wingdings" w:hint="default"/>
      </w:rPr>
    </w:lvl>
  </w:abstractNum>
  <w:abstractNum w:abstractNumId="23" w15:restartNumberingAfterBreak="0">
    <w:nsid w:val="2C4A4D0C"/>
    <w:multiLevelType w:val="hybridMultilevel"/>
    <w:tmpl w:val="35E8527E"/>
    <w:lvl w:ilvl="0" w:tplc="04090001">
      <w:start w:val="1"/>
      <w:numFmt w:val="bullet"/>
      <w:lvlText w:val=""/>
      <w:lvlJc w:val="left"/>
      <w:pPr>
        <w:ind w:left="1385" w:hanging="360"/>
      </w:pPr>
      <w:rPr>
        <w:rFonts w:ascii="Symbol" w:hAnsi="Symbol" w:hint="default"/>
      </w:rPr>
    </w:lvl>
    <w:lvl w:ilvl="1" w:tplc="04090003" w:tentative="1">
      <w:start w:val="1"/>
      <w:numFmt w:val="bullet"/>
      <w:lvlText w:val="o"/>
      <w:lvlJc w:val="left"/>
      <w:pPr>
        <w:ind w:left="2105" w:hanging="360"/>
      </w:pPr>
      <w:rPr>
        <w:rFonts w:ascii="Courier New" w:hAnsi="Courier New" w:cs="Courier New" w:hint="default"/>
      </w:rPr>
    </w:lvl>
    <w:lvl w:ilvl="2" w:tplc="04090005" w:tentative="1">
      <w:start w:val="1"/>
      <w:numFmt w:val="bullet"/>
      <w:lvlText w:val=""/>
      <w:lvlJc w:val="left"/>
      <w:pPr>
        <w:ind w:left="2825" w:hanging="360"/>
      </w:pPr>
      <w:rPr>
        <w:rFonts w:ascii="Wingdings" w:hAnsi="Wingdings" w:hint="default"/>
      </w:rPr>
    </w:lvl>
    <w:lvl w:ilvl="3" w:tplc="04090001" w:tentative="1">
      <w:start w:val="1"/>
      <w:numFmt w:val="bullet"/>
      <w:lvlText w:val=""/>
      <w:lvlJc w:val="left"/>
      <w:pPr>
        <w:ind w:left="3545" w:hanging="360"/>
      </w:pPr>
      <w:rPr>
        <w:rFonts w:ascii="Symbol" w:hAnsi="Symbol" w:hint="default"/>
      </w:rPr>
    </w:lvl>
    <w:lvl w:ilvl="4" w:tplc="04090003" w:tentative="1">
      <w:start w:val="1"/>
      <w:numFmt w:val="bullet"/>
      <w:lvlText w:val="o"/>
      <w:lvlJc w:val="left"/>
      <w:pPr>
        <w:ind w:left="4265" w:hanging="360"/>
      </w:pPr>
      <w:rPr>
        <w:rFonts w:ascii="Courier New" w:hAnsi="Courier New" w:cs="Courier New" w:hint="default"/>
      </w:rPr>
    </w:lvl>
    <w:lvl w:ilvl="5" w:tplc="04090005" w:tentative="1">
      <w:start w:val="1"/>
      <w:numFmt w:val="bullet"/>
      <w:lvlText w:val=""/>
      <w:lvlJc w:val="left"/>
      <w:pPr>
        <w:ind w:left="4985" w:hanging="360"/>
      </w:pPr>
      <w:rPr>
        <w:rFonts w:ascii="Wingdings" w:hAnsi="Wingdings" w:hint="default"/>
      </w:rPr>
    </w:lvl>
    <w:lvl w:ilvl="6" w:tplc="04090001" w:tentative="1">
      <w:start w:val="1"/>
      <w:numFmt w:val="bullet"/>
      <w:lvlText w:val=""/>
      <w:lvlJc w:val="left"/>
      <w:pPr>
        <w:ind w:left="5705" w:hanging="360"/>
      </w:pPr>
      <w:rPr>
        <w:rFonts w:ascii="Symbol" w:hAnsi="Symbol" w:hint="default"/>
      </w:rPr>
    </w:lvl>
    <w:lvl w:ilvl="7" w:tplc="04090003" w:tentative="1">
      <w:start w:val="1"/>
      <w:numFmt w:val="bullet"/>
      <w:lvlText w:val="o"/>
      <w:lvlJc w:val="left"/>
      <w:pPr>
        <w:ind w:left="6425" w:hanging="360"/>
      </w:pPr>
      <w:rPr>
        <w:rFonts w:ascii="Courier New" w:hAnsi="Courier New" w:cs="Courier New" w:hint="default"/>
      </w:rPr>
    </w:lvl>
    <w:lvl w:ilvl="8" w:tplc="04090005" w:tentative="1">
      <w:start w:val="1"/>
      <w:numFmt w:val="bullet"/>
      <w:lvlText w:val=""/>
      <w:lvlJc w:val="left"/>
      <w:pPr>
        <w:ind w:left="7145" w:hanging="360"/>
      </w:pPr>
      <w:rPr>
        <w:rFonts w:ascii="Wingdings" w:hAnsi="Wingdings" w:hint="default"/>
      </w:rPr>
    </w:lvl>
  </w:abstractNum>
  <w:abstractNum w:abstractNumId="24" w15:restartNumberingAfterBreak="0">
    <w:nsid w:val="2ED95BC4"/>
    <w:multiLevelType w:val="hybridMultilevel"/>
    <w:tmpl w:val="7AD2E8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091677A"/>
    <w:multiLevelType w:val="hybridMultilevel"/>
    <w:tmpl w:val="19C0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9454F8"/>
    <w:multiLevelType w:val="hybridMultilevel"/>
    <w:tmpl w:val="9D5E8A1A"/>
    <w:lvl w:ilvl="0" w:tplc="DB8C2BA2">
      <w:numFmt w:val="bullet"/>
      <w:lvlText w:val="•"/>
      <w:lvlJc w:val="left"/>
      <w:pPr>
        <w:ind w:left="720" w:hanging="360"/>
      </w:pPr>
      <w:rPr>
        <w:rFonts w:ascii="Garamond" w:hAnsi="Garamon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AE4D2B"/>
    <w:multiLevelType w:val="hybridMultilevel"/>
    <w:tmpl w:val="572A7E96"/>
    <w:lvl w:ilvl="0" w:tplc="DB8C2BA2">
      <w:numFmt w:val="bullet"/>
      <w:lvlText w:val="•"/>
      <w:lvlJc w:val="left"/>
      <w:pPr>
        <w:ind w:left="720" w:hanging="360"/>
      </w:pPr>
      <w:rPr>
        <w:rFonts w:ascii="Garamond" w:hAnsi="Garamon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7F75E8"/>
    <w:multiLevelType w:val="hybridMultilevel"/>
    <w:tmpl w:val="52481BB8"/>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start w:val="1"/>
      <w:numFmt w:val="bullet"/>
      <w:lvlText w:val=""/>
      <w:lvlJc w:val="left"/>
      <w:pPr>
        <w:ind w:left="3185" w:hanging="360"/>
      </w:pPr>
      <w:rPr>
        <w:rFonts w:ascii="Symbol" w:hAnsi="Symbol" w:hint="default"/>
      </w:rPr>
    </w:lvl>
    <w:lvl w:ilvl="4" w:tplc="04090003">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9" w15:restartNumberingAfterBreak="0">
    <w:nsid w:val="38861F11"/>
    <w:multiLevelType w:val="hybridMultilevel"/>
    <w:tmpl w:val="0410321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CDC7557"/>
    <w:multiLevelType w:val="hybridMultilevel"/>
    <w:tmpl w:val="3C6A00C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15:restartNumberingAfterBreak="0">
    <w:nsid w:val="41410FF1"/>
    <w:multiLevelType w:val="singleLevel"/>
    <w:tmpl w:val="C2D8555A"/>
    <w:lvl w:ilvl="0">
      <w:start w:val="1"/>
      <w:numFmt w:val="decimal"/>
      <w:lvlText w:val="%1."/>
      <w:lvlJc w:val="left"/>
      <w:pPr>
        <w:tabs>
          <w:tab w:val="num" w:pos="360"/>
        </w:tabs>
        <w:ind w:left="360" w:hanging="360"/>
      </w:pPr>
      <w:rPr>
        <w:rFonts w:hint="default"/>
        <w:b w:val="0"/>
        <w:i w:val="0"/>
        <w:sz w:val="24"/>
      </w:rPr>
    </w:lvl>
  </w:abstractNum>
  <w:abstractNum w:abstractNumId="32" w15:restartNumberingAfterBreak="0">
    <w:nsid w:val="41767AC5"/>
    <w:multiLevelType w:val="hybridMultilevel"/>
    <w:tmpl w:val="53D8FE0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123C8C"/>
    <w:multiLevelType w:val="hybridMultilevel"/>
    <w:tmpl w:val="04B0447C"/>
    <w:lvl w:ilvl="0" w:tplc="DB8C2BA2">
      <w:numFmt w:val="bullet"/>
      <w:lvlText w:val="•"/>
      <w:lvlJc w:val="left"/>
      <w:pPr>
        <w:ind w:left="720" w:hanging="360"/>
      </w:pPr>
      <w:rPr>
        <w:rFonts w:ascii="Garamond" w:hAnsi="Garamon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83602"/>
    <w:multiLevelType w:val="hybridMultilevel"/>
    <w:tmpl w:val="52D4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522D6D"/>
    <w:multiLevelType w:val="hybridMultilevel"/>
    <w:tmpl w:val="B0728E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FB1BA8"/>
    <w:multiLevelType w:val="hybridMultilevel"/>
    <w:tmpl w:val="5AA872E0"/>
    <w:lvl w:ilvl="0" w:tplc="DB8C2BA2">
      <w:numFmt w:val="bullet"/>
      <w:lvlText w:val="•"/>
      <w:lvlJc w:val="left"/>
      <w:pPr>
        <w:ind w:left="720" w:hanging="360"/>
      </w:pPr>
      <w:rPr>
        <w:rFonts w:ascii="Garamond" w:hAnsi="Garamon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D5796"/>
    <w:multiLevelType w:val="hybridMultilevel"/>
    <w:tmpl w:val="B7D052A0"/>
    <w:lvl w:ilvl="0" w:tplc="EE3E46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214680"/>
    <w:multiLevelType w:val="hybridMultilevel"/>
    <w:tmpl w:val="664012E4"/>
    <w:lvl w:ilvl="0" w:tplc="04090001">
      <w:start w:val="1"/>
      <w:numFmt w:val="bullet"/>
      <w:lvlText w:val=""/>
      <w:lvlJc w:val="left"/>
      <w:pPr>
        <w:tabs>
          <w:tab w:val="num" w:pos="720"/>
        </w:tabs>
        <w:ind w:left="720" w:hanging="360"/>
      </w:pPr>
      <w:rPr>
        <w:rFonts w:ascii="Symbol" w:hAnsi="Symbol" w:hint="default"/>
      </w:rPr>
    </w:lvl>
    <w:lvl w:ilvl="1" w:tplc="2DE2C3F6">
      <w:numFmt w:val="bullet"/>
      <w:lvlText w:val="-"/>
      <w:lvlJc w:val="left"/>
      <w:pPr>
        <w:tabs>
          <w:tab w:val="num" w:pos="1440"/>
        </w:tabs>
        <w:ind w:left="1440" w:hanging="360"/>
      </w:pPr>
      <w:rPr>
        <w:rFonts w:ascii="Arial" w:eastAsia="Times New Roman" w:hAnsi="Arial" w:cs="Arial"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BE4FC4"/>
    <w:multiLevelType w:val="hybridMultilevel"/>
    <w:tmpl w:val="76340B0E"/>
    <w:lvl w:ilvl="0" w:tplc="DB8C2BA2">
      <w:numFmt w:val="bullet"/>
      <w:lvlText w:val="•"/>
      <w:lvlJc w:val="left"/>
      <w:pPr>
        <w:ind w:left="720" w:hanging="360"/>
      </w:pPr>
      <w:rPr>
        <w:rFonts w:ascii="Garamond" w:hAnsi="Garamond"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83593"/>
    <w:multiLevelType w:val="hybridMultilevel"/>
    <w:tmpl w:val="145082B6"/>
    <w:lvl w:ilvl="0" w:tplc="106664D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712725F1"/>
    <w:multiLevelType w:val="hybridMultilevel"/>
    <w:tmpl w:val="923C8B42"/>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2" w15:restartNumberingAfterBreak="0">
    <w:nsid w:val="766F63C7"/>
    <w:multiLevelType w:val="hybridMultilevel"/>
    <w:tmpl w:val="E8A6E4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81C4112">
      <w:start w:val="2"/>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D29E7"/>
    <w:multiLevelType w:val="hybridMultilevel"/>
    <w:tmpl w:val="9CE6BD3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AB53DCB"/>
    <w:multiLevelType w:val="hybridMultilevel"/>
    <w:tmpl w:val="86F02662"/>
    <w:lvl w:ilvl="0" w:tplc="EE3E46A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0E7E75"/>
    <w:multiLevelType w:val="hybridMultilevel"/>
    <w:tmpl w:val="BE90272E"/>
    <w:lvl w:ilvl="0" w:tplc="DB8C2BA2">
      <w:numFmt w:val="bullet"/>
      <w:lvlText w:val="•"/>
      <w:lvlJc w:val="left"/>
      <w:pPr>
        <w:ind w:left="720" w:hanging="360"/>
      </w:pPr>
      <w:rPr>
        <w:rFonts w:ascii="Garamond" w:hAnsi="Garamond"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30"/>
  </w:num>
  <w:num w:numId="4">
    <w:abstractNumId w:val="29"/>
  </w:num>
  <w:num w:numId="5">
    <w:abstractNumId w:val="32"/>
  </w:num>
  <w:num w:numId="6">
    <w:abstractNumId w:val="21"/>
  </w:num>
  <w:num w:numId="7">
    <w:abstractNumId w:val="44"/>
  </w:num>
  <w:num w:numId="8">
    <w:abstractNumId w:val="37"/>
  </w:num>
  <w:num w:numId="9">
    <w:abstractNumId w:val="31"/>
  </w:num>
  <w:num w:numId="10">
    <w:abstractNumId w:val="5"/>
  </w:num>
  <w:num w:numId="11">
    <w:abstractNumId w:val="2"/>
  </w:num>
  <w:num w:numId="12">
    <w:abstractNumId w:val="0"/>
  </w:num>
  <w:num w:numId="13">
    <w:abstractNumId w:val="24"/>
  </w:num>
  <w:num w:numId="14">
    <w:abstractNumId w:val="43"/>
  </w:num>
  <w:num w:numId="15">
    <w:abstractNumId w:val="9"/>
  </w:num>
  <w:num w:numId="16">
    <w:abstractNumId w:val="15"/>
  </w:num>
  <w:num w:numId="17">
    <w:abstractNumId w:val="10"/>
  </w:num>
  <w:num w:numId="18">
    <w:abstractNumId w:val="1"/>
  </w:num>
  <w:num w:numId="19">
    <w:abstractNumId w:val="19"/>
  </w:num>
  <w:num w:numId="20">
    <w:abstractNumId w:val="38"/>
  </w:num>
  <w:num w:numId="21">
    <w:abstractNumId w:val="34"/>
  </w:num>
  <w:num w:numId="22">
    <w:abstractNumId w:val="25"/>
  </w:num>
  <w:num w:numId="23">
    <w:abstractNumId w:val="42"/>
  </w:num>
  <w:num w:numId="24">
    <w:abstractNumId w:val="14"/>
  </w:num>
  <w:num w:numId="25">
    <w:abstractNumId w:val="8"/>
  </w:num>
  <w:num w:numId="26">
    <w:abstractNumId w:val="6"/>
  </w:num>
  <w:num w:numId="27">
    <w:abstractNumId w:val="23"/>
  </w:num>
  <w:num w:numId="28">
    <w:abstractNumId w:val="7"/>
  </w:num>
  <w:num w:numId="29">
    <w:abstractNumId w:val="41"/>
  </w:num>
  <w:num w:numId="30">
    <w:abstractNumId w:val="28"/>
  </w:num>
  <w:num w:numId="31">
    <w:abstractNumId w:val="20"/>
  </w:num>
  <w:num w:numId="32">
    <w:abstractNumId w:val="22"/>
  </w:num>
  <w:num w:numId="33">
    <w:abstractNumId w:val="12"/>
  </w:num>
  <w:num w:numId="34">
    <w:abstractNumId w:val="17"/>
  </w:num>
  <w:num w:numId="35">
    <w:abstractNumId w:val="4"/>
  </w:num>
  <w:num w:numId="36">
    <w:abstractNumId w:val="33"/>
  </w:num>
  <w:num w:numId="37">
    <w:abstractNumId w:val="36"/>
  </w:num>
  <w:num w:numId="38">
    <w:abstractNumId w:val="13"/>
  </w:num>
  <w:num w:numId="39">
    <w:abstractNumId w:val="26"/>
  </w:num>
  <w:num w:numId="40">
    <w:abstractNumId w:val="11"/>
  </w:num>
  <w:num w:numId="41">
    <w:abstractNumId w:val="45"/>
  </w:num>
  <w:num w:numId="42">
    <w:abstractNumId w:val="39"/>
  </w:num>
  <w:num w:numId="43">
    <w:abstractNumId w:val="27"/>
  </w:num>
  <w:num w:numId="44">
    <w:abstractNumId w:val="35"/>
  </w:num>
  <w:num w:numId="45">
    <w:abstractNumId w:val="4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07"/>
    <w:rsid w:val="00011533"/>
    <w:rsid w:val="000153F9"/>
    <w:rsid w:val="00021834"/>
    <w:rsid w:val="00026E1B"/>
    <w:rsid w:val="00031752"/>
    <w:rsid w:val="000369D7"/>
    <w:rsid w:val="00037B87"/>
    <w:rsid w:val="00040458"/>
    <w:rsid w:val="0005664C"/>
    <w:rsid w:val="00057370"/>
    <w:rsid w:val="0006100D"/>
    <w:rsid w:val="00063D34"/>
    <w:rsid w:val="000654E4"/>
    <w:rsid w:val="00072D44"/>
    <w:rsid w:val="00077831"/>
    <w:rsid w:val="00085142"/>
    <w:rsid w:val="0008659C"/>
    <w:rsid w:val="00087CD7"/>
    <w:rsid w:val="00096123"/>
    <w:rsid w:val="00097E43"/>
    <w:rsid w:val="000A4793"/>
    <w:rsid w:val="000B3462"/>
    <w:rsid w:val="000B3988"/>
    <w:rsid w:val="000C315E"/>
    <w:rsid w:val="000C76DA"/>
    <w:rsid w:val="000D514F"/>
    <w:rsid w:val="000E0960"/>
    <w:rsid w:val="000E4092"/>
    <w:rsid w:val="000E67A0"/>
    <w:rsid w:val="001168FC"/>
    <w:rsid w:val="001234AF"/>
    <w:rsid w:val="0015776B"/>
    <w:rsid w:val="00161D65"/>
    <w:rsid w:val="00174B4B"/>
    <w:rsid w:val="00176A12"/>
    <w:rsid w:val="001934B9"/>
    <w:rsid w:val="001B4077"/>
    <w:rsid w:val="001B4699"/>
    <w:rsid w:val="001C6A72"/>
    <w:rsid w:val="001D59C9"/>
    <w:rsid w:val="001D5BCA"/>
    <w:rsid w:val="001E41D3"/>
    <w:rsid w:val="001F7E8C"/>
    <w:rsid w:val="00201BB3"/>
    <w:rsid w:val="0020255C"/>
    <w:rsid w:val="00215343"/>
    <w:rsid w:val="0022238C"/>
    <w:rsid w:val="002317E8"/>
    <w:rsid w:val="00252697"/>
    <w:rsid w:val="00274435"/>
    <w:rsid w:val="002A1C1A"/>
    <w:rsid w:val="002A1C53"/>
    <w:rsid w:val="002A5336"/>
    <w:rsid w:val="002B1E7F"/>
    <w:rsid w:val="002C41EA"/>
    <w:rsid w:val="002D0A44"/>
    <w:rsid w:val="002E06DF"/>
    <w:rsid w:val="002E6DA4"/>
    <w:rsid w:val="00300BA7"/>
    <w:rsid w:val="0030405F"/>
    <w:rsid w:val="00304432"/>
    <w:rsid w:val="003261DD"/>
    <w:rsid w:val="00331226"/>
    <w:rsid w:val="003314A4"/>
    <w:rsid w:val="00341B0A"/>
    <w:rsid w:val="00345265"/>
    <w:rsid w:val="00345818"/>
    <w:rsid w:val="00394110"/>
    <w:rsid w:val="003A0A10"/>
    <w:rsid w:val="003B2017"/>
    <w:rsid w:val="003B2CDB"/>
    <w:rsid w:val="003B4CD9"/>
    <w:rsid w:val="003B5326"/>
    <w:rsid w:val="003C0BC0"/>
    <w:rsid w:val="003C54CF"/>
    <w:rsid w:val="003F227D"/>
    <w:rsid w:val="003F238B"/>
    <w:rsid w:val="003F3D1C"/>
    <w:rsid w:val="003F7479"/>
    <w:rsid w:val="00403945"/>
    <w:rsid w:val="00420F71"/>
    <w:rsid w:val="004249A3"/>
    <w:rsid w:val="004454BD"/>
    <w:rsid w:val="00456FAC"/>
    <w:rsid w:val="00457854"/>
    <w:rsid w:val="00460A1D"/>
    <w:rsid w:val="00460A37"/>
    <w:rsid w:val="00461DAB"/>
    <w:rsid w:val="004656C9"/>
    <w:rsid w:val="00466B62"/>
    <w:rsid w:val="004928EE"/>
    <w:rsid w:val="004941BF"/>
    <w:rsid w:val="004A01CD"/>
    <w:rsid w:val="004C721B"/>
    <w:rsid w:val="004D134A"/>
    <w:rsid w:val="004D7800"/>
    <w:rsid w:val="004E4231"/>
    <w:rsid w:val="004E4E85"/>
    <w:rsid w:val="004E6735"/>
    <w:rsid w:val="004F2368"/>
    <w:rsid w:val="0050678A"/>
    <w:rsid w:val="0051296D"/>
    <w:rsid w:val="0051479A"/>
    <w:rsid w:val="005224FD"/>
    <w:rsid w:val="00533051"/>
    <w:rsid w:val="005349F3"/>
    <w:rsid w:val="00537B59"/>
    <w:rsid w:val="00547E01"/>
    <w:rsid w:val="00551057"/>
    <w:rsid w:val="005579E1"/>
    <w:rsid w:val="00575474"/>
    <w:rsid w:val="00585159"/>
    <w:rsid w:val="005B1C42"/>
    <w:rsid w:val="005D17E6"/>
    <w:rsid w:val="005E09BB"/>
    <w:rsid w:val="005F669E"/>
    <w:rsid w:val="00601A36"/>
    <w:rsid w:val="00607AB5"/>
    <w:rsid w:val="00624747"/>
    <w:rsid w:val="00640FE4"/>
    <w:rsid w:val="00641C64"/>
    <w:rsid w:val="006511E5"/>
    <w:rsid w:val="00651CD8"/>
    <w:rsid w:val="00654001"/>
    <w:rsid w:val="00667135"/>
    <w:rsid w:val="00671434"/>
    <w:rsid w:val="00684427"/>
    <w:rsid w:val="006C6D9B"/>
    <w:rsid w:val="006F0419"/>
    <w:rsid w:val="006F7952"/>
    <w:rsid w:val="00710CE1"/>
    <w:rsid w:val="00716764"/>
    <w:rsid w:val="00724166"/>
    <w:rsid w:val="007456A2"/>
    <w:rsid w:val="00747C32"/>
    <w:rsid w:val="00753012"/>
    <w:rsid w:val="007566CB"/>
    <w:rsid w:val="00760835"/>
    <w:rsid w:val="00761F4F"/>
    <w:rsid w:val="0076322A"/>
    <w:rsid w:val="00773807"/>
    <w:rsid w:val="0078199C"/>
    <w:rsid w:val="00785AA3"/>
    <w:rsid w:val="0079104D"/>
    <w:rsid w:val="007B10FB"/>
    <w:rsid w:val="007B6214"/>
    <w:rsid w:val="007C2CEF"/>
    <w:rsid w:val="007D2202"/>
    <w:rsid w:val="007E4164"/>
    <w:rsid w:val="007F7CB6"/>
    <w:rsid w:val="008046A3"/>
    <w:rsid w:val="008060B5"/>
    <w:rsid w:val="008129C5"/>
    <w:rsid w:val="00815FEC"/>
    <w:rsid w:val="008160EC"/>
    <w:rsid w:val="008205E6"/>
    <w:rsid w:val="00844A22"/>
    <w:rsid w:val="00851C94"/>
    <w:rsid w:val="0085462E"/>
    <w:rsid w:val="008566CC"/>
    <w:rsid w:val="00865D7B"/>
    <w:rsid w:val="0087109C"/>
    <w:rsid w:val="00881106"/>
    <w:rsid w:val="00881F89"/>
    <w:rsid w:val="00884294"/>
    <w:rsid w:val="008948CB"/>
    <w:rsid w:val="008B4636"/>
    <w:rsid w:val="008B6A71"/>
    <w:rsid w:val="008B7F83"/>
    <w:rsid w:val="008D026A"/>
    <w:rsid w:val="008D32E7"/>
    <w:rsid w:val="00901804"/>
    <w:rsid w:val="009252AA"/>
    <w:rsid w:val="00945574"/>
    <w:rsid w:val="0097467A"/>
    <w:rsid w:val="00976117"/>
    <w:rsid w:val="0098083F"/>
    <w:rsid w:val="00991347"/>
    <w:rsid w:val="009A0C97"/>
    <w:rsid w:val="009B29D4"/>
    <w:rsid w:val="009C625E"/>
    <w:rsid w:val="009C742C"/>
    <w:rsid w:val="009E7805"/>
    <w:rsid w:val="00A02994"/>
    <w:rsid w:val="00A039B6"/>
    <w:rsid w:val="00A11A36"/>
    <w:rsid w:val="00A44A80"/>
    <w:rsid w:val="00A53487"/>
    <w:rsid w:val="00A6158C"/>
    <w:rsid w:val="00A61C35"/>
    <w:rsid w:val="00A6731D"/>
    <w:rsid w:val="00A750FF"/>
    <w:rsid w:val="00A768BC"/>
    <w:rsid w:val="00A85246"/>
    <w:rsid w:val="00A85F98"/>
    <w:rsid w:val="00A92BB6"/>
    <w:rsid w:val="00A94DDB"/>
    <w:rsid w:val="00AA1530"/>
    <w:rsid w:val="00AA4C05"/>
    <w:rsid w:val="00AC48FB"/>
    <w:rsid w:val="00AC4B98"/>
    <w:rsid w:val="00AD0DF8"/>
    <w:rsid w:val="00AD4924"/>
    <w:rsid w:val="00AE35E8"/>
    <w:rsid w:val="00AE5852"/>
    <w:rsid w:val="00B000CB"/>
    <w:rsid w:val="00B1531A"/>
    <w:rsid w:val="00B25A1B"/>
    <w:rsid w:val="00B26D44"/>
    <w:rsid w:val="00B34EE6"/>
    <w:rsid w:val="00B42FB8"/>
    <w:rsid w:val="00B4447E"/>
    <w:rsid w:val="00B45591"/>
    <w:rsid w:val="00B51E95"/>
    <w:rsid w:val="00B547A7"/>
    <w:rsid w:val="00B7376D"/>
    <w:rsid w:val="00B75197"/>
    <w:rsid w:val="00B86392"/>
    <w:rsid w:val="00BA697E"/>
    <w:rsid w:val="00BD54C3"/>
    <w:rsid w:val="00C00365"/>
    <w:rsid w:val="00C107B5"/>
    <w:rsid w:val="00C13CFA"/>
    <w:rsid w:val="00C2144A"/>
    <w:rsid w:val="00C309C3"/>
    <w:rsid w:val="00C31812"/>
    <w:rsid w:val="00C33ECF"/>
    <w:rsid w:val="00C52B54"/>
    <w:rsid w:val="00C56987"/>
    <w:rsid w:val="00C57DCD"/>
    <w:rsid w:val="00C633B8"/>
    <w:rsid w:val="00C91B35"/>
    <w:rsid w:val="00CB207D"/>
    <w:rsid w:val="00CB79FE"/>
    <w:rsid w:val="00CC6371"/>
    <w:rsid w:val="00CD5275"/>
    <w:rsid w:val="00CE0B57"/>
    <w:rsid w:val="00CE32D7"/>
    <w:rsid w:val="00CE3494"/>
    <w:rsid w:val="00CE4AB0"/>
    <w:rsid w:val="00CF7799"/>
    <w:rsid w:val="00D02DB7"/>
    <w:rsid w:val="00D040D8"/>
    <w:rsid w:val="00D1764F"/>
    <w:rsid w:val="00D17D5B"/>
    <w:rsid w:val="00D33507"/>
    <w:rsid w:val="00D43E4F"/>
    <w:rsid w:val="00D54467"/>
    <w:rsid w:val="00D71075"/>
    <w:rsid w:val="00D73760"/>
    <w:rsid w:val="00D7551E"/>
    <w:rsid w:val="00D77CD3"/>
    <w:rsid w:val="00D84C86"/>
    <w:rsid w:val="00D91B24"/>
    <w:rsid w:val="00DB1C37"/>
    <w:rsid w:val="00DC42E6"/>
    <w:rsid w:val="00DD6D10"/>
    <w:rsid w:val="00DE76CA"/>
    <w:rsid w:val="00DF0141"/>
    <w:rsid w:val="00DF0883"/>
    <w:rsid w:val="00DF5993"/>
    <w:rsid w:val="00E0252E"/>
    <w:rsid w:val="00E03E1A"/>
    <w:rsid w:val="00E21652"/>
    <w:rsid w:val="00E27EE4"/>
    <w:rsid w:val="00E346C6"/>
    <w:rsid w:val="00E43D4F"/>
    <w:rsid w:val="00E50B84"/>
    <w:rsid w:val="00E525C5"/>
    <w:rsid w:val="00E526B5"/>
    <w:rsid w:val="00E641FB"/>
    <w:rsid w:val="00E750F3"/>
    <w:rsid w:val="00E82B2E"/>
    <w:rsid w:val="00E943B9"/>
    <w:rsid w:val="00E95532"/>
    <w:rsid w:val="00EB3018"/>
    <w:rsid w:val="00ED2920"/>
    <w:rsid w:val="00EE416E"/>
    <w:rsid w:val="00EE46B8"/>
    <w:rsid w:val="00EE5FB9"/>
    <w:rsid w:val="00EE65E7"/>
    <w:rsid w:val="00EE6CD7"/>
    <w:rsid w:val="00F0281D"/>
    <w:rsid w:val="00F16292"/>
    <w:rsid w:val="00F166FD"/>
    <w:rsid w:val="00F20130"/>
    <w:rsid w:val="00F2310E"/>
    <w:rsid w:val="00F33CE1"/>
    <w:rsid w:val="00F40F0F"/>
    <w:rsid w:val="00F51AEF"/>
    <w:rsid w:val="00F5328B"/>
    <w:rsid w:val="00F579F2"/>
    <w:rsid w:val="00F90F3E"/>
    <w:rsid w:val="00F94017"/>
    <w:rsid w:val="00FA3318"/>
    <w:rsid w:val="00FD04F6"/>
    <w:rsid w:val="00FE20BC"/>
    <w:rsid w:val="00FF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F7B559C"/>
  <w15:chartTrackingRefBased/>
  <w15:docId w15:val="{8D63A66C-3250-4823-B792-7E6A8A15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220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05664C"/>
    <w:pPr>
      <w:keepNext/>
      <w:spacing w:before="240" w:after="60"/>
      <w:outlineLvl w:val="3"/>
    </w:pPr>
    <w:rPr>
      <w:b/>
      <w:bCs/>
      <w:sz w:val="28"/>
      <w:szCs w:val="28"/>
    </w:rPr>
  </w:style>
  <w:style w:type="paragraph" w:styleId="Heading5">
    <w:name w:val="heading 5"/>
    <w:basedOn w:val="Normal"/>
    <w:next w:val="Normal"/>
    <w:qFormat/>
    <w:rsid w:val="00D33507"/>
    <w:pPr>
      <w:keepNex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3507"/>
    <w:pPr>
      <w:tabs>
        <w:tab w:val="center" w:pos="4320"/>
        <w:tab w:val="right" w:pos="8640"/>
      </w:tabs>
    </w:pPr>
  </w:style>
  <w:style w:type="paragraph" w:styleId="Footer">
    <w:name w:val="footer"/>
    <w:basedOn w:val="Normal"/>
    <w:link w:val="FooterChar"/>
    <w:rsid w:val="00D33507"/>
    <w:pPr>
      <w:tabs>
        <w:tab w:val="center" w:pos="4320"/>
        <w:tab w:val="right" w:pos="8640"/>
      </w:tabs>
    </w:pPr>
  </w:style>
  <w:style w:type="character" w:styleId="PageNumber">
    <w:name w:val="page number"/>
    <w:basedOn w:val="DefaultParagraphFont"/>
    <w:rsid w:val="00D33507"/>
  </w:style>
  <w:style w:type="paragraph" w:styleId="Caption">
    <w:name w:val="caption"/>
    <w:basedOn w:val="Normal"/>
    <w:next w:val="Normal"/>
    <w:qFormat/>
    <w:rsid w:val="00D33507"/>
    <w:pPr>
      <w:tabs>
        <w:tab w:val="left" w:pos="1800"/>
      </w:tabs>
      <w:spacing w:before="240"/>
      <w:jc w:val="center"/>
    </w:pPr>
    <w:rPr>
      <w:b/>
      <w:sz w:val="28"/>
      <w:szCs w:val="20"/>
    </w:rPr>
  </w:style>
  <w:style w:type="character" w:customStyle="1" w:styleId="FooterChar">
    <w:name w:val="Footer Char"/>
    <w:link w:val="Footer"/>
    <w:semiHidden/>
    <w:locked/>
    <w:rsid w:val="007D2202"/>
    <w:rPr>
      <w:sz w:val="24"/>
      <w:szCs w:val="24"/>
      <w:lang w:val="en-US" w:eastAsia="en-US" w:bidi="ar-SA"/>
    </w:rPr>
  </w:style>
  <w:style w:type="character" w:styleId="Hyperlink">
    <w:name w:val="Hyperlink"/>
    <w:rsid w:val="007D2202"/>
    <w:rPr>
      <w:color w:val="393999"/>
      <w:u w:val="single"/>
    </w:rPr>
  </w:style>
  <w:style w:type="character" w:styleId="Strong">
    <w:name w:val="Strong"/>
    <w:qFormat/>
    <w:rsid w:val="007D2202"/>
    <w:rPr>
      <w:b/>
      <w:bCs/>
    </w:rPr>
  </w:style>
  <w:style w:type="paragraph" w:customStyle="1" w:styleId="Default">
    <w:name w:val="Default"/>
    <w:rsid w:val="007D2202"/>
    <w:pPr>
      <w:widowControl w:val="0"/>
      <w:autoSpaceDE w:val="0"/>
      <w:autoSpaceDN w:val="0"/>
      <w:adjustRightInd w:val="0"/>
    </w:pPr>
    <w:rPr>
      <w:color w:val="000000"/>
      <w:sz w:val="24"/>
      <w:szCs w:val="24"/>
    </w:rPr>
  </w:style>
  <w:style w:type="paragraph" w:styleId="BodyText">
    <w:name w:val="Body Text"/>
    <w:basedOn w:val="Normal"/>
    <w:rsid w:val="007D2202"/>
    <w:rPr>
      <w:szCs w:val="20"/>
    </w:rPr>
  </w:style>
  <w:style w:type="paragraph" w:styleId="List">
    <w:name w:val="List"/>
    <w:basedOn w:val="Normal"/>
    <w:rsid w:val="0005664C"/>
    <w:pPr>
      <w:ind w:left="360" w:hanging="360"/>
    </w:pPr>
    <w:rPr>
      <w:sz w:val="20"/>
      <w:szCs w:val="20"/>
    </w:rPr>
  </w:style>
  <w:style w:type="paragraph" w:customStyle="1" w:styleId="citation">
    <w:name w:val="citation"/>
    <w:basedOn w:val="Normal"/>
    <w:rsid w:val="000C76DA"/>
    <w:pPr>
      <w:spacing w:before="100" w:beforeAutospacing="1" w:after="100" w:afterAutospacing="1"/>
    </w:pPr>
  </w:style>
  <w:style w:type="character" w:styleId="CommentReference">
    <w:name w:val="annotation reference"/>
    <w:rsid w:val="004454BD"/>
    <w:rPr>
      <w:sz w:val="16"/>
      <w:szCs w:val="16"/>
    </w:rPr>
  </w:style>
  <w:style w:type="paragraph" w:styleId="CommentText">
    <w:name w:val="annotation text"/>
    <w:basedOn w:val="Normal"/>
    <w:link w:val="CommentTextChar"/>
    <w:rsid w:val="004454BD"/>
    <w:rPr>
      <w:sz w:val="20"/>
      <w:szCs w:val="20"/>
    </w:rPr>
  </w:style>
  <w:style w:type="character" w:customStyle="1" w:styleId="CommentTextChar">
    <w:name w:val="Comment Text Char"/>
    <w:basedOn w:val="DefaultParagraphFont"/>
    <w:link w:val="CommentText"/>
    <w:rsid w:val="004454BD"/>
  </w:style>
  <w:style w:type="paragraph" w:styleId="CommentSubject">
    <w:name w:val="annotation subject"/>
    <w:basedOn w:val="CommentText"/>
    <w:next w:val="CommentText"/>
    <w:link w:val="CommentSubjectChar"/>
    <w:rsid w:val="004454BD"/>
    <w:rPr>
      <w:b/>
      <w:bCs/>
    </w:rPr>
  </w:style>
  <w:style w:type="character" w:customStyle="1" w:styleId="CommentSubjectChar">
    <w:name w:val="Comment Subject Char"/>
    <w:link w:val="CommentSubject"/>
    <w:rsid w:val="004454BD"/>
    <w:rPr>
      <w:b/>
      <w:bCs/>
    </w:rPr>
  </w:style>
  <w:style w:type="paragraph" w:styleId="BalloonText">
    <w:name w:val="Balloon Text"/>
    <w:basedOn w:val="Normal"/>
    <w:link w:val="BalloonTextChar"/>
    <w:rsid w:val="004454BD"/>
    <w:rPr>
      <w:rFonts w:ascii="Segoe UI" w:hAnsi="Segoe UI" w:cs="Segoe UI"/>
      <w:sz w:val="18"/>
      <w:szCs w:val="18"/>
    </w:rPr>
  </w:style>
  <w:style w:type="character" w:customStyle="1" w:styleId="BalloonTextChar">
    <w:name w:val="Balloon Text Char"/>
    <w:link w:val="BalloonText"/>
    <w:rsid w:val="004454BD"/>
    <w:rPr>
      <w:rFonts w:ascii="Segoe UI" w:hAnsi="Segoe UI" w:cs="Segoe UI"/>
      <w:sz w:val="18"/>
      <w:szCs w:val="18"/>
    </w:rPr>
  </w:style>
  <w:style w:type="paragraph" w:styleId="ListParagraph">
    <w:name w:val="List Paragraph"/>
    <w:basedOn w:val="Normal"/>
    <w:uiPriority w:val="34"/>
    <w:qFormat/>
    <w:rsid w:val="00DD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Policy #:</vt:lpstr>
    </vt:vector>
  </TitlesOfParts>
  <Company>BMC</Company>
  <LinksUpToDate>false</LinksUpToDate>
  <CharactersWithSpaces>18291</CharactersWithSpaces>
  <SharedDoc>false</SharedDoc>
  <HLinks>
    <vt:vector size="78" baseType="variant">
      <vt:variant>
        <vt:i4>3866641</vt:i4>
      </vt:variant>
      <vt:variant>
        <vt:i4>36</vt:i4>
      </vt:variant>
      <vt:variant>
        <vt:i4>0</vt:i4>
      </vt:variant>
      <vt:variant>
        <vt:i4>5</vt:i4>
      </vt:variant>
      <vt:variant>
        <vt:lpwstr>javascript:AL_get(this, 'jour', 'Cerebrovasc Dis.');</vt:lpwstr>
      </vt:variant>
      <vt:variant>
        <vt:lpwstr/>
      </vt:variant>
      <vt:variant>
        <vt:i4>2228329</vt:i4>
      </vt:variant>
      <vt:variant>
        <vt:i4>33</vt:i4>
      </vt:variant>
      <vt:variant>
        <vt:i4>0</vt:i4>
      </vt:variant>
      <vt:variant>
        <vt:i4>5</vt:i4>
      </vt:variant>
      <vt:variant>
        <vt:lpwstr>http://www.ncbi.nlm.nih.gov/pubmed?term=%22Linfante%20I%22%5BAuthor%5D</vt:lpwstr>
      </vt:variant>
      <vt:variant>
        <vt:lpwstr/>
      </vt:variant>
      <vt:variant>
        <vt:i4>196697</vt:i4>
      </vt:variant>
      <vt:variant>
        <vt:i4>30</vt:i4>
      </vt:variant>
      <vt:variant>
        <vt:i4>0</vt:i4>
      </vt:variant>
      <vt:variant>
        <vt:i4>5</vt:i4>
      </vt:variant>
      <vt:variant>
        <vt:lpwstr>http://www.ncbi.nlm.nih.gov/pubmed?term=%22Caplan%20LR%22%5BAuthor%5D</vt:lpwstr>
      </vt:variant>
      <vt:variant>
        <vt:lpwstr/>
      </vt:variant>
      <vt:variant>
        <vt:i4>6160395</vt:i4>
      </vt:variant>
      <vt:variant>
        <vt:i4>27</vt:i4>
      </vt:variant>
      <vt:variant>
        <vt:i4>0</vt:i4>
      </vt:variant>
      <vt:variant>
        <vt:i4>5</vt:i4>
      </vt:variant>
      <vt:variant>
        <vt:lpwstr>http://www.ncbi.nlm.nih.gov/pubmed?term=%22Schlaug%20G%22%5BAuthor%5D</vt:lpwstr>
      </vt:variant>
      <vt:variant>
        <vt:lpwstr/>
      </vt:variant>
      <vt:variant>
        <vt:i4>3997804</vt:i4>
      </vt:variant>
      <vt:variant>
        <vt:i4>24</vt:i4>
      </vt:variant>
      <vt:variant>
        <vt:i4>0</vt:i4>
      </vt:variant>
      <vt:variant>
        <vt:i4>5</vt:i4>
      </vt:variant>
      <vt:variant>
        <vt:lpwstr>http://www.ncbi.nlm.nih.gov/pubmed?term=%22Fink%20J%22%5BAuthor%5D</vt:lpwstr>
      </vt:variant>
      <vt:variant>
        <vt:lpwstr/>
      </vt:variant>
      <vt:variant>
        <vt:i4>2293861</vt:i4>
      </vt:variant>
      <vt:variant>
        <vt:i4>21</vt:i4>
      </vt:variant>
      <vt:variant>
        <vt:i4>0</vt:i4>
      </vt:variant>
      <vt:variant>
        <vt:i4>5</vt:i4>
      </vt:variant>
      <vt:variant>
        <vt:lpwstr>http://www.ncbi.nlm.nih.gov/pubmed?term=%22Kumar%20S%22%5BAuthor%5D</vt:lpwstr>
      </vt:variant>
      <vt:variant>
        <vt:lpwstr/>
      </vt:variant>
      <vt:variant>
        <vt:i4>3866749</vt:i4>
      </vt:variant>
      <vt:variant>
        <vt:i4>18</vt:i4>
      </vt:variant>
      <vt:variant>
        <vt:i4>0</vt:i4>
      </vt:variant>
      <vt:variant>
        <vt:i4>5</vt:i4>
      </vt:variant>
      <vt:variant>
        <vt:lpwstr>http://www.ncbi.nlm.nih.gov/pubmed?term=%22Selim%20M%22%5BAuthor%5D</vt:lpwstr>
      </vt:variant>
      <vt:variant>
        <vt:lpwstr/>
      </vt:variant>
      <vt:variant>
        <vt:i4>5242931</vt:i4>
      </vt:variant>
      <vt:variant>
        <vt:i4>15</vt:i4>
      </vt:variant>
      <vt:variant>
        <vt:i4>0</vt:i4>
      </vt:variant>
      <vt:variant>
        <vt:i4>5</vt:i4>
      </vt:variant>
      <vt:variant>
        <vt:lpwstr>javascript:AL_get(this, 'jour', 'Neurology.');</vt:lpwstr>
      </vt:variant>
      <vt:variant>
        <vt:lpwstr/>
      </vt:variant>
      <vt:variant>
        <vt:i4>6881330</vt:i4>
      </vt:variant>
      <vt:variant>
        <vt:i4>12</vt:i4>
      </vt:variant>
      <vt:variant>
        <vt:i4>0</vt:i4>
      </vt:variant>
      <vt:variant>
        <vt:i4>5</vt:i4>
      </vt:variant>
      <vt:variant>
        <vt:lpwstr>http://www.ncbi.nlm.nih.gov/pubmed?term=%22Schwamm%20LH%22%5BAuthor%5D</vt:lpwstr>
      </vt:variant>
      <vt:variant>
        <vt:lpwstr/>
      </vt:variant>
      <vt:variant>
        <vt:i4>4587540</vt:i4>
      </vt:variant>
      <vt:variant>
        <vt:i4>9</vt:i4>
      </vt:variant>
      <vt:variant>
        <vt:i4>0</vt:i4>
      </vt:variant>
      <vt:variant>
        <vt:i4>5</vt:i4>
      </vt:variant>
      <vt:variant>
        <vt:lpwstr>http://www.ncbi.nlm.nih.gov/pubmed?term=%22Viswanathan%20A%22%5BAuthor%5D</vt:lpwstr>
      </vt:variant>
      <vt:variant>
        <vt:lpwstr/>
      </vt:variant>
      <vt:variant>
        <vt:i4>327762</vt:i4>
      </vt:variant>
      <vt:variant>
        <vt:i4>6</vt:i4>
      </vt:variant>
      <vt:variant>
        <vt:i4>0</vt:i4>
      </vt:variant>
      <vt:variant>
        <vt:i4>5</vt:i4>
      </vt:variant>
      <vt:variant>
        <vt:lpwstr>http://www.ncbi.nlm.nih.gov/pubmed?term=%22Pervez%20MA%22%5BAuthor%5D</vt:lpwstr>
      </vt:variant>
      <vt:variant>
        <vt:lpwstr/>
      </vt:variant>
      <vt:variant>
        <vt:i4>6160406</vt:i4>
      </vt:variant>
      <vt:variant>
        <vt:i4>3</vt:i4>
      </vt:variant>
      <vt:variant>
        <vt:i4>0</vt:i4>
      </vt:variant>
      <vt:variant>
        <vt:i4>5</vt:i4>
      </vt:variant>
      <vt:variant>
        <vt:lpwstr>http://www.ncbi.nlm.nih.gov/pubmed?term=%22Masrur%20S%22%5BAuthor%5D</vt:lpwstr>
      </vt:variant>
      <vt:variant>
        <vt:lpwstr/>
      </vt:variant>
      <vt:variant>
        <vt:i4>7405603</vt:i4>
      </vt:variant>
      <vt:variant>
        <vt:i4>0</vt:i4>
      </vt:variant>
      <vt:variant>
        <vt:i4>0</vt:i4>
      </vt:variant>
      <vt:variant>
        <vt:i4>5</vt:i4>
      </vt:variant>
      <vt:variant>
        <vt:lpwstr>http://www.ncbi.nlm.nih.gov/pubmed?term=%22Rost%20NS%22%5BAuthor%5D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c:title>
  <dc:subject/>
  <dc:creator>karegal</dc:creator>
  <cp:keywords/>
  <dc:description/>
  <cp:lastModifiedBy>Leifson, Marci</cp:lastModifiedBy>
  <cp:revision>4</cp:revision>
  <dcterms:created xsi:type="dcterms:W3CDTF">2017-01-19T17:22:00Z</dcterms:created>
  <dcterms:modified xsi:type="dcterms:W3CDTF">2017-01-19T20:34:00Z</dcterms:modified>
</cp:coreProperties>
</file>