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95902" w14:textId="77777777" w:rsidR="00BA59FE" w:rsidRPr="00BA59FE" w:rsidRDefault="00BA59FE" w:rsidP="00BA59FE">
      <w:pPr>
        <w:spacing w:after="0" w:line="240" w:lineRule="auto"/>
        <w:jc w:val="center"/>
        <w:outlineLvl w:val="0"/>
        <w:rPr>
          <w:rFonts w:ascii="Arial" w:hAnsi="Arial" w:cs="Arial"/>
          <w:b/>
          <w:sz w:val="12"/>
          <w:szCs w:val="12"/>
        </w:rPr>
      </w:pPr>
    </w:p>
    <w:p w14:paraId="4DA40298" w14:textId="0A7DC252" w:rsidR="00A86965" w:rsidRPr="00C70715" w:rsidRDefault="00AE594B" w:rsidP="00C70715">
      <w:pPr>
        <w:spacing w:line="240" w:lineRule="auto"/>
        <w:jc w:val="center"/>
        <w:outlineLvl w:val="0"/>
        <w:rPr>
          <w:rFonts w:ascii="Arial" w:hAnsi="Arial" w:cs="Arial"/>
          <w:b/>
          <w:sz w:val="28"/>
          <w:szCs w:val="28"/>
        </w:rPr>
      </w:pPr>
      <w:r w:rsidRPr="005E6206">
        <w:rPr>
          <w:rFonts w:ascii="Arial" w:hAnsi="Arial" w:cs="Arial"/>
          <w:b/>
          <w:sz w:val="28"/>
          <w:szCs w:val="28"/>
        </w:rPr>
        <w:t>Just-i</w:t>
      </w:r>
      <w:r w:rsidR="008C0FA6" w:rsidRPr="005E6206">
        <w:rPr>
          <w:rFonts w:ascii="Arial" w:hAnsi="Arial" w:cs="Arial"/>
          <w:b/>
          <w:sz w:val="28"/>
          <w:szCs w:val="28"/>
        </w:rPr>
        <w:t xml:space="preserve">n-Time Checklist </w:t>
      </w:r>
      <w:r w:rsidR="00A86965" w:rsidRPr="005E6206">
        <w:rPr>
          <w:rFonts w:ascii="Arial" w:hAnsi="Arial" w:cs="Arial"/>
          <w:b/>
          <w:sz w:val="28"/>
          <w:szCs w:val="28"/>
        </w:rPr>
        <w:t xml:space="preserve"> (JIT)</w:t>
      </w:r>
    </w:p>
    <w:p w14:paraId="2804524B" w14:textId="77777777" w:rsidR="00A86965" w:rsidRDefault="00A86965" w:rsidP="0071208A">
      <w:pPr>
        <w:spacing w:after="0" w:line="360" w:lineRule="auto"/>
        <w:rPr>
          <w:rFonts w:ascii="Arial" w:hAnsi="Arial" w:cs="Arial"/>
          <w:sz w:val="20"/>
          <w:szCs w:val="20"/>
        </w:rPr>
      </w:pPr>
      <w:r w:rsidRPr="0071208A">
        <w:rPr>
          <w:rFonts w:ascii="Arial" w:hAnsi="Arial" w:cs="Arial"/>
          <w:sz w:val="20"/>
          <w:szCs w:val="20"/>
        </w:rPr>
        <w:t xml:space="preserve">The following guide and checklist is designed for most </w:t>
      </w:r>
      <w:r w:rsidR="00AE594B" w:rsidRPr="0071208A">
        <w:rPr>
          <w:rFonts w:ascii="Arial" w:hAnsi="Arial" w:cs="Arial"/>
          <w:sz w:val="20"/>
          <w:szCs w:val="20"/>
        </w:rPr>
        <w:t>Just-i</w:t>
      </w:r>
      <w:r w:rsidRPr="0071208A">
        <w:rPr>
          <w:rFonts w:ascii="Arial" w:hAnsi="Arial" w:cs="Arial"/>
          <w:sz w:val="20"/>
          <w:szCs w:val="20"/>
        </w:rPr>
        <w:t xml:space="preserve">n-Time (JIT) requests to National Institute of Health (NIH). The checklist is a resource to help Principal Investigators (PI) and Research Administrators (RA) see at a glance the general elements </w:t>
      </w:r>
      <w:r w:rsidR="002758D0" w:rsidRPr="0071208A">
        <w:rPr>
          <w:rFonts w:ascii="Arial" w:hAnsi="Arial" w:cs="Arial"/>
          <w:sz w:val="20"/>
          <w:szCs w:val="20"/>
        </w:rPr>
        <w:t xml:space="preserve">required for a JIT submission. </w:t>
      </w:r>
      <w:r w:rsidR="00DF761F" w:rsidRPr="0071208A">
        <w:rPr>
          <w:rFonts w:ascii="Arial" w:hAnsi="Arial" w:cs="Arial"/>
          <w:sz w:val="20"/>
          <w:szCs w:val="20"/>
        </w:rPr>
        <w:t>It can also be used as a resource on where to upload documents in eRA Commons, NIH grant management site. Lastly it will provide</w:t>
      </w:r>
      <w:r w:rsidRPr="0071208A">
        <w:rPr>
          <w:rFonts w:ascii="Arial" w:hAnsi="Arial" w:cs="Arial"/>
          <w:sz w:val="20"/>
          <w:szCs w:val="20"/>
        </w:rPr>
        <w:t xml:space="preserve"> a brief overview of the Grants and Contracts JIT process.</w:t>
      </w:r>
    </w:p>
    <w:p w14:paraId="04B2FE39" w14:textId="77777777" w:rsidR="00970B9A" w:rsidRPr="00970B9A" w:rsidRDefault="00970B9A" w:rsidP="0071208A">
      <w:pPr>
        <w:spacing w:after="0" w:line="360" w:lineRule="auto"/>
        <w:rPr>
          <w:rFonts w:ascii="Arial" w:hAnsi="Arial" w:cs="Arial"/>
          <w:sz w:val="12"/>
          <w:szCs w:val="12"/>
        </w:rPr>
      </w:pPr>
    </w:p>
    <w:p w14:paraId="794AAC66" w14:textId="5D6230AF" w:rsidR="00305DBC" w:rsidRDefault="00270D4F" w:rsidP="0071208A">
      <w:pPr>
        <w:spacing w:after="0" w:line="360" w:lineRule="auto"/>
        <w:rPr>
          <w:rFonts w:ascii="Arial" w:hAnsi="Arial" w:cs="Arial"/>
          <w:b/>
        </w:rPr>
      </w:pPr>
      <w:r w:rsidRPr="0071208A">
        <w:rPr>
          <w:rFonts w:ascii="Arial" w:hAnsi="Arial" w:cs="Arial"/>
          <w:b/>
          <w:sz w:val="20"/>
          <w:szCs w:val="20"/>
        </w:rPr>
        <w:t xml:space="preserve">Other Department of Health and Human Services (DHHS) </w:t>
      </w:r>
      <w:r w:rsidR="008C0FA6" w:rsidRPr="0071208A">
        <w:rPr>
          <w:rFonts w:ascii="Arial" w:hAnsi="Arial" w:cs="Arial"/>
          <w:b/>
          <w:sz w:val="20"/>
          <w:szCs w:val="20"/>
        </w:rPr>
        <w:t>sponsors, for example, D</w:t>
      </w:r>
      <w:r w:rsidR="00A86965" w:rsidRPr="0071208A">
        <w:rPr>
          <w:rFonts w:ascii="Arial" w:hAnsi="Arial" w:cs="Arial"/>
          <w:b/>
          <w:sz w:val="20"/>
          <w:szCs w:val="20"/>
        </w:rPr>
        <w:t xml:space="preserve">epartment of </w:t>
      </w:r>
      <w:r w:rsidR="008C0FA6" w:rsidRPr="0071208A">
        <w:rPr>
          <w:rFonts w:ascii="Arial" w:hAnsi="Arial" w:cs="Arial"/>
          <w:b/>
          <w:sz w:val="20"/>
          <w:szCs w:val="20"/>
        </w:rPr>
        <w:t>D</w:t>
      </w:r>
      <w:r w:rsidR="00A86965" w:rsidRPr="0071208A">
        <w:rPr>
          <w:rFonts w:ascii="Arial" w:hAnsi="Arial" w:cs="Arial"/>
          <w:b/>
          <w:sz w:val="20"/>
          <w:szCs w:val="20"/>
        </w:rPr>
        <w:t>efense (DOD)</w:t>
      </w:r>
      <w:r w:rsidR="008C0FA6" w:rsidRPr="0071208A">
        <w:rPr>
          <w:rFonts w:ascii="Arial" w:hAnsi="Arial" w:cs="Arial"/>
          <w:b/>
          <w:sz w:val="20"/>
          <w:szCs w:val="20"/>
        </w:rPr>
        <w:t xml:space="preserve">, </w:t>
      </w:r>
      <w:r w:rsidR="00A86965" w:rsidRPr="0071208A">
        <w:rPr>
          <w:rFonts w:ascii="Arial" w:hAnsi="Arial" w:cs="Arial"/>
          <w:b/>
          <w:sz w:val="20"/>
          <w:szCs w:val="20"/>
        </w:rPr>
        <w:t>Health Resources and Services Administration (</w:t>
      </w:r>
      <w:r w:rsidR="008C0FA6" w:rsidRPr="0071208A">
        <w:rPr>
          <w:rFonts w:ascii="Arial" w:hAnsi="Arial" w:cs="Arial"/>
          <w:b/>
          <w:sz w:val="20"/>
          <w:szCs w:val="20"/>
        </w:rPr>
        <w:t>HRSA</w:t>
      </w:r>
      <w:r w:rsidR="00A86965" w:rsidRPr="0071208A">
        <w:rPr>
          <w:rFonts w:ascii="Arial" w:hAnsi="Arial" w:cs="Arial"/>
          <w:b/>
          <w:sz w:val="20"/>
          <w:szCs w:val="20"/>
        </w:rPr>
        <w:t>)</w:t>
      </w:r>
      <w:r w:rsidR="008C0FA6" w:rsidRPr="0071208A">
        <w:rPr>
          <w:rFonts w:ascii="Arial" w:hAnsi="Arial" w:cs="Arial"/>
          <w:b/>
          <w:sz w:val="20"/>
          <w:szCs w:val="20"/>
        </w:rPr>
        <w:t xml:space="preserve">, </w:t>
      </w:r>
      <w:r w:rsidR="00A86965" w:rsidRPr="0071208A">
        <w:rPr>
          <w:rFonts w:ascii="Arial" w:hAnsi="Arial" w:cs="Arial"/>
          <w:b/>
          <w:sz w:val="20"/>
          <w:szCs w:val="20"/>
        </w:rPr>
        <w:t>National Science Foundation (</w:t>
      </w:r>
      <w:r w:rsidR="008C0FA6" w:rsidRPr="0071208A">
        <w:rPr>
          <w:rFonts w:ascii="Arial" w:hAnsi="Arial" w:cs="Arial"/>
          <w:b/>
          <w:sz w:val="20"/>
          <w:szCs w:val="20"/>
        </w:rPr>
        <w:t>NSF</w:t>
      </w:r>
      <w:r w:rsidR="00A86965" w:rsidRPr="0071208A">
        <w:rPr>
          <w:rFonts w:ascii="Arial" w:hAnsi="Arial" w:cs="Arial"/>
          <w:b/>
          <w:sz w:val="20"/>
          <w:szCs w:val="20"/>
        </w:rPr>
        <w:t>)</w:t>
      </w:r>
      <w:r w:rsidR="008C0FA6" w:rsidRPr="0071208A">
        <w:rPr>
          <w:rFonts w:ascii="Arial" w:hAnsi="Arial" w:cs="Arial"/>
          <w:b/>
          <w:sz w:val="20"/>
          <w:szCs w:val="20"/>
        </w:rPr>
        <w:t xml:space="preserve"> ma</w:t>
      </w:r>
      <w:r w:rsidR="002758D0" w:rsidRPr="0071208A">
        <w:rPr>
          <w:rFonts w:ascii="Arial" w:hAnsi="Arial" w:cs="Arial"/>
          <w:b/>
          <w:sz w:val="20"/>
          <w:szCs w:val="20"/>
        </w:rPr>
        <w:t xml:space="preserve">y request additional material. </w:t>
      </w:r>
      <w:r w:rsidR="008C0FA6" w:rsidRPr="0071208A">
        <w:rPr>
          <w:rFonts w:ascii="Arial" w:hAnsi="Arial" w:cs="Arial"/>
          <w:b/>
          <w:sz w:val="20"/>
          <w:szCs w:val="20"/>
        </w:rPr>
        <w:t xml:space="preserve">This checklist is not inclusive to those items. </w:t>
      </w:r>
      <w:r w:rsidR="00A86965" w:rsidRPr="0071208A">
        <w:rPr>
          <w:rFonts w:ascii="Arial" w:hAnsi="Arial" w:cs="Arial"/>
          <w:b/>
          <w:sz w:val="20"/>
          <w:szCs w:val="20"/>
        </w:rPr>
        <w:t xml:space="preserve"> As a best practice, Research Operations recommends PIs/RAs follow the specific instructions given when a JIT request is made. </w:t>
      </w:r>
      <w:r w:rsidR="00A86965" w:rsidRPr="005E6206">
        <w:rPr>
          <w:rFonts w:ascii="Arial" w:hAnsi="Arial" w:cs="Arial"/>
          <w:b/>
        </w:rPr>
        <w:t xml:space="preserve"> </w:t>
      </w:r>
      <w:r w:rsidR="008C0FA6" w:rsidRPr="005E6206">
        <w:rPr>
          <w:rFonts w:ascii="Arial" w:hAnsi="Arial" w:cs="Arial"/>
          <w:b/>
        </w:rPr>
        <w:t xml:space="preserve">   </w:t>
      </w:r>
    </w:p>
    <w:p w14:paraId="422B86E8" w14:textId="77777777" w:rsidR="0071208A" w:rsidRPr="000F0D40" w:rsidRDefault="0071208A" w:rsidP="0071208A">
      <w:pPr>
        <w:spacing w:after="0" w:line="360" w:lineRule="auto"/>
        <w:rPr>
          <w:rFonts w:ascii="Arial" w:hAnsi="Arial" w:cs="Arial"/>
          <w:b/>
        </w:rPr>
      </w:pPr>
    </w:p>
    <w:tbl>
      <w:tblPr>
        <w:tblStyle w:val="TableGrid"/>
        <w:tblW w:w="10781"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20"/>
        <w:gridCol w:w="7361"/>
      </w:tblGrid>
      <w:tr w:rsidR="00AE594B" w:rsidRPr="00F621E6" w14:paraId="566340C5" w14:textId="77777777" w:rsidTr="00A615D2">
        <w:tc>
          <w:tcPr>
            <w:tcW w:w="3420" w:type="dxa"/>
            <w:shd w:val="clear" w:color="auto" w:fill="DEEAF6" w:themeFill="accent1" w:themeFillTint="33"/>
          </w:tcPr>
          <w:p w14:paraId="4D7CB971" w14:textId="77777777" w:rsidR="00AE594B" w:rsidRPr="00F621E6" w:rsidRDefault="00AE594B" w:rsidP="005B1653">
            <w:pPr>
              <w:contextualSpacing/>
              <w:rPr>
                <w:rFonts w:ascii="Arial" w:hAnsi="Arial" w:cs="Arial"/>
                <w:b/>
                <w:sz w:val="20"/>
                <w:szCs w:val="20"/>
              </w:rPr>
            </w:pPr>
            <w:r w:rsidRPr="00F621E6">
              <w:rPr>
                <w:rFonts w:ascii="Arial" w:hAnsi="Arial" w:cs="Arial"/>
                <w:b/>
                <w:sz w:val="20"/>
                <w:szCs w:val="20"/>
              </w:rPr>
              <w:t>Types of Documents Submission</w:t>
            </w:r>
          </w:p>
        </w:tc>
        <w:tc>
          <w:tcPr>
            <w:tcW w:w="7361" w:type="dxa"/>
            <w:shd w:val="clear" w:color="auto" w:fill="DEEAF6" w:themeFill="accent1" w:themeFillTint="33"/>
          </w:tcPr>
          <w:p w14:paraId="44E3132B" w14:textId="77777777" w:rsidR="00AE594B" w:rsidRPr="00F621E6" w:rsidRDefault="00AE594B" w:rsidP="005B1653">
            <w:pPr>
              <w:contextualSpacing/>
              <w:rPr>
                <w:rFonts w:ascii="Arial" w:hAnsi="Arial" w:cs="Arial"/>
                <w:b/>
                <w:sz w:val="20"/>
                <w:szCs w:val="20"/>
              </w:rPr>
            </w:pPr>
            <w:r w:rsidRPr="00F621E6">
              <w:rPr>
                <w:rFonts w:ascii="Arial" w:hAnsi="Arial" w:cs="Arial"/>
                <w:b/>
                <w:sz w:val="20"/>
                <w:szCs w:val="20"/>
              </w:rPr>
              <w:t>Review and Submission of Documents Deadline</w:t>
            </w:r>
          </w:p>
        </w:tc>
      </w:tr>
      <w:tr w:rsidR="00AE594B" w:rsidRPr="00F621E6" w14:paraId="1C5EAA84" w14:textId="77777777" w:rsidTr="00A615D2">
        <w:tc>
          <w:tcPr>
            <w:tcW w:w="3420" w:type="dxa"/>
          </w:tcPr>
          <w:p w14:paraId="38B8B1D7" w14:textId="77777777" w:rsidR="00AE594B" w:rsidRPr="00F621E6" w:rsidRDefault="00AE594B" w:rsidP="005B1653">
            <w:pPr>
              <w:spacing w:after="160" w:line="259" w:lineRule="auto"/>
              <w:rPr>
                <w:rFonts w:ascii="Arial" w:hAnsi="Arial" w:cs="Arial"/>
                <w:b/>
                <w:sz w:val="20"/>
                <w:szCs w:val="20"/>
              </w:rPr>
            </w:pPr>
            <w:r w:rsidRPr="00F621E6">
              <w:rPr>
                <w:rFonts w:ascii="Arial" w:hAnsi="Arial" w:cs="Arial"/>
                <w:b/>
                <w:sz w:val="20"/>
                <w:szCs w:val="20"/>
              </w:rPr>
              <w:t>Just-in-Time (JIT)</w:t>
            </w:r>
          </w:p>
        </w:tc>
        <w:tc>
          <w:tcPr>
            <w:tcW w:w="7361" w:type="dxa"/>
          </w:tcPr>
          <w:p w14:paraId="208B4AA4" w14:textId="77777777" w:rsidR="00AE594B" w:rsidRPr="00F621E6" w:rsidRDefault="00AE594B" w:rsidP="005B1653">
            <w:pPr>
              <w:spacing w:after="160" w:line="259" w:lineRule="auto"/>
              <w:rPr>
                <w:rFonts w:ascii="Arial" w:hAnsi="Arial" w:cs="Arial"/>
                <w:b/>
                <w:sz w:val="20"/>
                <w:szCs w:val="20"/>
              </w:rPr>
            </w:pPr>
            <w:r w:rsidRPr="00F621E6">
              <w:rPr>
                <w:rFonts w:ascii="Arial" w:hAnsi="Arial" w:cs="Arial"/>
                <w:b/>
                <w:sz w:val="20"/>
                <w:szCs w:val="20"/>
              </w:rPr>
              <w:t xml:space="preserve">There is no standard deadline for the JIT documents unless an email is sent directly from the sponsor’s Grant Management Specialist providing a deadline.  </w:t>
            </w:r>
          </w:p>
          <w:p w14:paraId="1ABB3EA3" w14:textId="77777777" w:rsidR="00AE594B" w:rsidRPr="00F621E6" w:rsidRDefault="00AE594B" w:rsidP="005B1653">
            <w:pPr>
              <w:spacing w:after="160" w:line="259" w:lineRule="auto"/>
              <w:rPr>
                <w:rFonts w:ascii="Arial" w:hAnsi="Arial" w:cs="Arial"/>
                <w:b/>
                <w:sz w:val="20"/>
                <w:szCs w:val="20"/>
              </w:rPr>
            </w:pPr>
            <w:r w:rsidRPr="00F621E6">
              <w:rPr>
                <w:rFonts w:ascii="Arial" w:hAnsi="Arial" w:cs="Arial"/>
                <w:b/>
                <w:sz w:val="20"/>
                <w:szCs w:val="20"/>
              </w:rPr>
              <w:t>NIH recommends Institutions submit JIT 60 to 90 days in advance of the expected start date.</w:t>
            </w:r>
            <w:r w:rsidRPr="00F621E6">
              <w:rPr>
                <w:rFonts w:ascii="Arial" w:hAnsi="Arial" w:cs="Arial"/>
                <w:b/>
              </w:rPr>
              <w:t> </w:t>
            </w:r>
          </w:p>
        </w:tc>
      </w:tr>
    </w:tbl>
    <w:p w14:paraId="2C02D361" w14:textId="77777777" w:rsidR="00305DBC" w:rsidRPr="00F621E6" w:rsidRDefault="00305DBC" w:rsidP="002343C5">
      <w:pPr>
        <w:spacing w:after="0" w:line="240" w:lineRule="auto"/>
        <w:rPr>
          <w:rFonts w:ascii="Arial" w:hAnsi="Arial" w:cs="Arial"/>
          <w:b/>
        </w:rPr>
      </w:pPr>
    </w:p>
    <w:tbl>
      <w:tblPr>
        <w:tblStyle w:val="TableGrid"/>
        <w:tblW w:w="10781"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20"/>
        <w:gridCol w:w="7361"/>
      </w:tblGrid>
      <w:tr w:rsidR="00A615D2" w:rsidRPr="00F621E6" w14:paraId="77568404" w14:textId="77777777" w:rsidTr="005B1653">
        <w:tc>
          <w:tcPr>
            <w:tcW w:w="3420" w:type="dxa"/>
            <w:shd w:val="clear" w:color="auto" w:fill="DEEAF6" w:themeFill="accent1" w:themeFillTint="33"/>
          </w:tcPr>
          <w:p w14:paraId="484C3345" w14:textId="77777777" w:rsidR="00A615D2" w:rsidRPr="00F621E6" w:rsidRDefault="00A615D2" w:rsidP="005B1653">
            <w:pPr>
              <w:contextualSpacing/>
              <w:rPr>
                <w:rFonts w:ascii="Arial" w:hAnsi="Arial" w:cs="Arial"/>
                <w:b/>
                <w:sz w:val="20"/>
                <w:szCs w:val="20"/>
              </w:rPr>
            </w:pPr>
            <w:r w:rsidRPr="00F621E6">
              <w:rPr>
                <w:rFonts w:ascii="Arial" w:hAnsi="Arial" w:cs="Arial"/>
                <w:b/>
                <w:sz w:val="20"/>
                <w:szCs w:val="20"/>
              </w:rPr>
              <w:t>Types of Documents Submission</w:t>
            </w:r>
          </w:p>
        </w:tc>
        <w:tc>
          <w:tcPr>
            <w:tcW w:w="7361" w:type="dxa"/>
            <w:shd w:val="clear" w:color="auto" w:fill="DEEAF6" w:themeFill="accent1" w:themeFillTint="33"/>
          </w:tcPr>
          <w:p w14:paraId="2E57BF66" w14:textId="77777777" w:rsidR="00A615D2" w:rsidRPr="00F621E6" w:rsidRDefault="00A615D2" w:rsidP="005B1653">
            <w:pPr>
              <w:contextualSpacing/>
              <w:rPr>
                <w:rFonts w:ascii="Arial" w:hAnsi="Arial" w:cs="Arial"/>
                <w:b/>
                <w:sz w:val="20"/>
                <w:szCs w:val="20"/>
              </w:rPr>
            </w:pPr>
            <w:r w:rsidRPr="00F621E6">
              <w:rPr>
                <w:rFonts w:ascii="Arial" w:hAnsi="Arial" w:cs="Arial"/>
                <w:b/>
                <w:sz w:val="20"/>
                <w:szCs w:val="20"/>
              </w:rPr>
              <w:t>Review and Submission of Documents Deadline</w:t>
            </w:r>
          </w:p>
        </w:tc>
      </w:tr>
      <w:tr w:rsidR="00A615D2" w:rsidRPr="005E6206" w14:paraId="08C6CBE1" w14:textId="77777777" w:rsidTr="00A615D2">
        <w:tc>
          <w:tcPr>
            <w:tcW w:w="3420" w:type="dxa"/>
            <w:shd w:val="clear" w:color="auto" w:fill="auto"/>
          </w:tcPr>
          <w:p w14:paraId="4D139719" w14:textId="77777777" w:rsidR="00A615D2" w:rsidRPr="005E6206" w:rsidRDefault="007A720E" w:rsidP="007A720E">
            <w:pPr>
              <w:spacing w:after="160" w:line="259" w:lineRule="auto"/>
              <w:rPr>
                <w:rFonts w:ascii="Arial" w:hAnsi="Arial" w:cs="Arial"/>
                <w:b/>
                <w:sz w:val="20"/>
                <w:szCs w:val="20"/>
              </w:rPr>
            </w:pPr>
            <w:r w:rsidRPr="005E6206">
              <w:rPr>
                <w:rFonts w:ascii="Arial" w:hAnsi="Arial" w:cs="Arial"/>
                <w:b/>
                <w:sz w:val="20"/>
                <w:szCs w:val="20"/>
              </w:rPr>
              <w:t>Document Format</w:t>
            </w:r>
          </w:p>
        </w:tc>
        <w:tc>
          <w:tcPr>
            <w:tcW w:w="7361" w:type="dxa"/>
            <w:shd w:val="clear" w:color="auto" w:fill="auto"/>
          </w:tcPr>
          <w:p w14:paraId="0398677D" w14:textId="77777777" w:rsidR="00A615D2" w:rsidRPr="005E6206" w:rsidRDefault="007A720E" w:rsidP="005B1653">
            <w:pPr>
              <w:contextualSpacing/>
              <w:rPr>
                <w:rFonts w:ascii="Arial" w:hAnsi="Arial" w:cs="Arial"/>
                <w:sz w:val="20"/>
                <w:szCs w:val="20"/>
              </w:rPr>
            </w:pPr>
            <w:r w:rsidRPr="005E6206">
              <w:rPr>
                <w:rFonts w:ascii="Arial" w:hAnsi="Arial" w:cs="Arial"/>
                <w:color w:val="000000" w:themeColor="text1"/>
                <w:sz w:val="20"/>
                <w:szCs w:val="20"/>
              </w:rPr>
              <w:t>PDF only; no headers or footers</w:t>
            </w:r>
          </w:p>
        </w:tc>
      </w:tr>
      <w:tr w:rsidR="00A615D2" w:rsidRPr="005E6206" w14:paraId="6AB93418" w14:textId="77777777" w:rsidTr="00A615D2">
        <w:tc>
          <w:tcPr>
            <w:tcW w:w="3420" w:type="dxa"/>
            <w:shd w:val="clear" w:color="auto" w:fill="auto"/>
          </w:tcPr>
          <w:p w14:paraId="4D882352" w14:textId="77777777" w:rsidR="00A615D2" w:rsidRPr="005E6206" w:rsidRDefault="007A720E" w:rsidP="007A720E">
            <w:pPr>
              <w:spacing w:after="160" w:line="259" w:lineRule="auto"/>
              <w:rPr>
                <w:rFonts w:ascii="Arial" w:hAnsi="Arial" w:cs="Arial"/>
                <w:b/>
                <w:sz w:val="20"/>
                <w:szCs w:val="20"/>
              </w:rPr>
            </w:pPr>
            <w:r w:rsidRPr="005E6206">
              <w:rPr>
                <w:rFonts w:ascii="Arial" w:hAnsi="Arial" w:cs="Arial"/>
                <w:b/>
                <w:sz w:val="20"/>
                <w:szCs w:val="20"/>
              </w:rPr>
              <w:t>Font type/size</w:t>
            </w:r>
          </w:p>
        </w:tc>
        <w:tc>
          <w:tcPr>
            <w:tcW w:w="7361" w:type="dxa"/>
            <w:shd w:val="clear" w:color="auto" w:fill="auto"/>
          </w:tcPr>
          <w:p w14:paraId="7ABFDD8C" w14:textId="77777777" w:rsidR="007A720E" w:rsidRPr="005E6206" w:rsidRDefault="007A720E" w:rsidP="007A720E">
            <w:pPr>
              <w:pStyle w:val="ListParagraph"/>
              <w:numPr>
                <w:ilvl w:val="0"/>
                <w:numId w:val="4"/>
              </w:numPr>
              <w:tabs>
                <w:tab w:val="left" w:pos="90"/>
              </w:tabs>
              <w:spacing w:after="0" w:line="240" w:lineRule="auto"/>
              <w:rPr>
                <w:rFonts w:ascii="Arial" w:hAnsi="Arial" w:cs="Arial"/>
                <w:sz w:val="20"/>
                <w:szCs w:val="20"/>
              </w:rPr>
            </w:pPr>
            <w:r w:rsidRPr="005E6206">
              <w:rPr>
                <w:rFonts w:ascii="Arial" w:hAnsi="Arial" w:cs="Arial"/>
                <w:sz w:val="20"/>
                <w:szCs w:val="20"/>
              </w:rPr>
              <w:t xml:space="preserve">Arial, Helvetica, Palatino Linotype or Georgia typeface </w:t>
            </w:r>
          </w:p>
          <w:p w14:paraId="2DA33F1E" w14:textId="77777777" w:rsidR="00A615D2" w:rsidRPr="005E6206" w:rsidRDefault="007A720E" w:rsidP="007A720E">
            <w:pPr>
              <w:pStyle w:val="ListParagraph"/>
              <w:numPr>
                <w:ilvl w:val="0"/>
                <w:numId w:val="4"/>
              </w:numPr>
              <w:tabs>
                <w:tab w:val="left" w:pos="90"/>
              </w:tabs>
              <w:spacing w:after="0" w:line="240" w:lineRule="auto"/>
              <w:rPr>
                <w:rFonts w:ascii="Arial" w:hAnsi="Arial" w:cs="Arial"/>
                <w:sz w:val="20"/>
                <w:szCs w:val="20"/>
              </w:rPr>
            </w:pPr>
            <w:r w:rsidRPr="005E6206">
              <w:rPr>
                <w:rFonts w:ascii="Arial" w:hAnsi="Arial" w:cs="Arial"/>
                <w:sz w:val="20"/>
                <w:szCs w:val="20"/>
              </w:rPr>
              <w:t>Black font color 11-points or larger</w:t>
            </w:r>
          </w:p>
        </w:tc>
      </w:tr>
      <w:tr w:rsidR="007A720E" w:rsidRPr="005E6206" w14:paraId="32A14F5D" w14:textId="77777777" w:rsidTr="00A615D2">
        <w:tc>
          <w:tcPr>
            <w:tcW w:w="3420" w:type="dxa"/>
            <w:shd w:val="clear" w:color="auto" w:fill="auto"/>
          </w:tcPr>
          <w:p w14:paraId="5E106086" w14:textId="77777777" w:rsidR="007A720E" w:rsidRPr="005E6206" w:rsidRDefault="007A720E" w:rsidP="007A720E">
            <w:pPr>
              <w:rPr>
                <w:rFonts w:ascii="Arial" w:hAnsi="Arial" w:cs="Arial"/>
                <w:b/>
                <w:sz w:val="20"/>
                <w:szCs w:val="20"/>
              </w:rPr>
            </w:pPr>
            <w:r w:rsidRPr="005E6206">
              <w:rPr>
                <w:rFonts w:ascii="Arial" w:hAnsi="Arial" w:cs="Arial"/>
                <w:b/>
                <w:sz w:val="20"/>
                <w:szCs w:val="20"/>
              </w:rPr>
              <w:t>Page Size and Margins</w:t>
            </w:r>
          </w:p>
        </w:tc>
        <w:tc>
          <w:tcPr>
            <w:tcW w:w="7361" w:type="dxa"/>
            <w:shd w:val="clear" w:color="auto" w:fill="auto"/>
          </w:tcPr>
          <w:p w14:paraId="3553CC6C" w14:textId="77777777" w:rsidR="007A720E" w:rsidRPr="005E6206" w:rsidRDefault="007A720E" w:rsidP="007A720E">
            <w:pPr>
              <w:pStyle w:val="ListParagraph"/>
              <w:numPr>
                <w:ilvl w:val="0"/>
                <w:numId w:val="4"/>
              </w:numPr>
              <w:tabs>
                <w:tab w:val="left" w:pos="90"/>
              </w:tabs>
              <w:spacing w:after="0" w:line="240" w:lineRule="auto"/>
              <w:rPr>
                <w:rFonts w:ascii="Arial" w:hAnsi="Arial" w:cs="Arial"/>
                <w:sz w:val="20"/>
                <w:szCs w:val="20"/>
              </w:rPr>
            </w:pPr>
            <w:r w:rsidRPr="005E6206">
              <w:rPr>
                <w:rFonts w:ascii="Arial" w:hAnsi="Arial" w:cs="Arial"/>
                <w:color w:val="000000" w:themeColor="text1"/>
                <w:sz w:val="20"/>
                <w:szCs w:val="20"/>
              </w:rPr>
              <w:t>Standard paper size (8 ½   x 11)</w:t>
            </w:r>
          </w:p>
          <w:p w14:paraId="6AD6199B" w14:textId="77777777" w:rsidR="007A720E" w:rsidRPr="005E6206" w:rsidRDefault="007A720E" w:rsidP="007A720E">
            <w:pPr>
              <w:pStyle w:val="ListParagraph"/>
              <w:numPr>
                <w:ilvl w:val="0"/>
                <w:numId w:val="4"/>
              </w:numPr>
              <w:tabs>
                <w:tab w:val="left" w:pos="90"/>
              </w:tabs>
              <w:spacing w:after="0" w:line="240" w:lineRule="auto"/>
              <w:rPr>
                <w:rFonts w:ascii="Arial" w:hAnsi="Arial" w:cs="Arial"/>
                <w:sz w:val="20"/>
                <w:szCs w:val="20"/>
              </w:rPr>
            </w:pPr>
            <w:r w:rsidRPr="005E6206">
              <w:rPr>
                <w:rFonts w:ascii="Arial" w:hAnsi="Arial" w:cs="Arial"/>
                <w:color w:val="000000" w:themeColor="text1"/>
                <w:sz w:val="20"/>
                <w:szCs w:val="20"/>
              </w:rPr>
              <w:t>One-half inch margins (top, bottom, left, right)</w:t>
            </w:r>
          </w:p>
        </w:tc>
      </w:tr>
      <w:tr w:rsidR="007A720E" w:rsidRPr="005E6206" w14:paraId="6E18EAA4" w14:textId="77777777" w:rsidTr="00A615D2">
        <w:tc>
          <w:tcPr>
            <w:tcW w:w="3420" w:type="dxa"/>
            <w:shd w:val="clear" w:color="auto" w:fill="auto"/>
          </w:tcPr>
          <w:p w14:paraId="716E6698" w14:textId="77777777" w:rsidR="007A720E" w:rsidRPr="005E6206" w:rsidRDefault="007A720E" w:rsidP="007A720E">
            <w:pPr>
              <w:rPr>
                <w:rFonts w:ascii="Arial" w:hAnsi="Arial" w:cs="Arial"/>
                <w:b/>
                <w:sz w:val="20"/>
                <w:szCs w:val="20"/>
              </w:rPr>
            </w:pPr>
            <w:r w:rsidRPr="005E6206">
              <w:rPr>
                <w:rFonts w:ascii="Arial" w:hAnsi="Arial" w:cs="Arial"/>
                <w:b/>
                <w:sz w:val="20"/>
                <w:szCs w:val="20"/>
              </w:rPr>
              <w:t>Policy/Guidelines</w:t>
            </w:r>
          </w:p>
        </w:tc>
        <w:tc>
          <w:tcPr>
            <w:tcW w:w="7361" w:type="dxa"/>
            <w:shd w:val="clear" w:color="auto" w:fill="auto"/>
          </w:tcPr>
          <w:p w14:paraId="3362BDD2" w14:textId="77777777" w:rsidR="007D38DE" w:rsidRPr="005E6206" w:rsidRDefault="003E1DA6" w:rsidP="007D38DE">
            <w:pPr>
              <w:pStyle w:val="ListParagraph"/>
              <w:numPr>
                <w:ilvl w:val="0"/>
                <w:numId w:val="5"/>
              </w:numPr>
              <w:tabs>
                <w:tab w:val="left" w:pos="90"/>
              </w:tabs>
              <w:spacing w:after="0" w:line="240" w:lineRule="auto"/>
              <w:rPr>
                <w:rFonts w:ascii="Arial" w:hAnsi="Arial" w:cs="Arial"/>
                <w:color w:val="000000" w:themeColor="text1"/>
                <w:sz w:val="20"/>
                <w:szCs w:val="20"/>
              </w:rPr>
            </w:pPr>
            <w:hyperlink r:id="rId8" w:anchor="Just-in-" w:history="1">
              <w:r w:rsidR="007D38DE" w:rsidRPr="005E6206">
                <w:rPr>
                  <w:rStyle w:val="Hyperlink"/>
                  <w:rFonts w:ascii="Arial" w:hAnsi="Arial" w:cs="Arial"/>
                  <w:sz w:val="20"/>
                  <w:szCs w:val="20"/>
                </w:rPr>
                <w:t>NIH Grants Policy Statement- Part 1, Section 2.5.1: Just-in-Time Procedures</w:t>
              </w:r>
            </w:hyperlink>
            <w:r w:rsidR="007D38DE" w:rsidRPr="005E6206">
              <w:rPr>
                <w:rFonts w:ascii="Arial" w:hAnsi="Arial" w:cs="Arial"/>
                <w:color w:val="000000" w:themeColor="text1"/>
                <w:sz w:val="20"/>
                <w:szCs w:val="20"/>
              </w:rPr>
              <w:t xml:space="preserve"> </w:t>
            </w:r>
          </w:p>
        </w:tc>
      </w:tr>
    </w:tbl>
    <w:p w14:paraId="2B159F56" w14:textId="77777777" w:rsidR="00305DBC" w:rsidRPr="000F0D40" w:rsidRDefault="00305DBC" w:rsidP="002343C5">
      <w:pPr>
        <w:spacing w:after="0" w:line="240" w:lineRule="auto"/>
        <w:rPr>
          <w:rFonts w:ascii="Arial" w:hAnsi="Arial" w:cs="Arial"/>
          <w:b/>
        </w:rPr>
      </w:pPr>
    </w:p>
    <w:tbl>
      <w:tblPr>
        <w:tblStyle w:val="TableGrid"/>
        <w:tblpPr w:leftFromText="180" w:rightFromText="180" w:vertAnchor="text" w:tblpY="1"/>
        <w:tblOverlap w:val="never"/>
        <w:tblW w:w="10795" w:type="dxa"/>
        <w:tblLayout w:type="fixed"/>
        <w:tblCellMar>
          <w:top w:w="43" w:type="dxa"/>
          <w:left w:w="115" w:type="dxa"/>
          <w:bottom w:w="43" w:type="dxa"/>
          <w:right w:w="115" w:type="dxa"/>
        </w:tblCellMar>
        <w:tblLook w:val="04A0" w:firstRow="1" w:lastRow="0" w:firstColumn="1" w:lastColumn="0" w:noHBand="0" w:noVBand="1"/>
      </w:tblPr>
      <w:tblGrid>
        <w:gridCol w:w="430"/>
        <w:gridCol w:w="2985"/>
        <w:gridCol w:w="7110"/>
        <w:gridCol w:w="270"/>
      </w:tblGrid>
      <w:tr w:rsidR="004C57D6" w:rsidRPr="005E6206" w14:paraId="46B75A64" w14:textId="77777777" w:rsidTr="00DF761F">
        <w:tc>
          <w:tcPr>
            <w:tcW w:w="4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F516FC" w14:textId="77777777" w:rsidR="004C57D6" w:rsidRPr="005E6206" w:rsidRDefault="004C57D6" w:rsidP="005B1653">
            <w:pPr>
              <w:rPr>
                <w:rFonts w:ascii="Arial" w:hAnsi="Arial" w:cs="Arial"/>
                <w:sz w:val="20"/>
                <w:szCs w:val="20"/>
              </w:rPr>
            </w:pPr>
          </w:p>
        </w:tc>
        <w:tc>
          <w:tcPr>
            <w:tcW w:w="1036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7FBE61" w14:textId="77777777" w:rsidR="004C57D6" w:rsidRPr="005E6206" w:rsidRDefault="004C57D6" w:rsidP="00A615D2">
            <w:pPr>
              <w:contextualSpacing/>
              <w:rPr>
                <w:rFonts w:ascii="Arial" w:hAnsi="Arial" w:cs="Arial"/>
                <w:b/>
                <w:sz w:val="28"/>
                <w:szCs w:val="28"/>
              </w:rPr>
            </w:pPr>
            <w:r w:rsidRPr="005E6206">
              <w:rPr>
                <w:rFonts w:ascii="Arial" w:hAnsi="Arial" w:cs="Arial"/>
                <w:b/>
                <w:sz w:val="28"/>
                <w:szCs w:val="28"/>
              </w:rPr>
              <w:t xml:space="preserve">Administrative </w:t>
            </w:r>
            <w:r w:rsidR="00A615D2" w:rsidRPr="005E6206">
              <w:rPr>
                <w:rFonts w:ascii="Arial" w:hAnsi="Arial" w:cs="Arial"/>
                <w:b/>
                <w:sz w:val="28"/>
                <w:szCs w:val="28"/>
              </w:rPr>
              <w:t>Documents for Just-in-Time</w:t>
            </w:r>
          </w:p>
        </w:tc>
      </w:tr>
      <w:tr w:rsidR="00A615D2" w:rsidRPr="005E6206" w14:paraId="1B122B28" w14:textId="77777777" w:rsidTr="00DF761F">
        <w:tc>
          <w:tcPr>
            <w:tcW w:w="430" w:type="dxa"/>
            <w:tcBorders>
              <w:top w:val="single" w:sz="4" w:space="0" w:color="auto"/>
              <w:bottom w:val="single" w:sz="4" w:space="0" w:color="auto"/>
            </w:tcBorders>
          </w:tcPr>
          <w:p w14:paraId="03138F4A" w14:textId="77777777" w:rsidR="00A615D2" w:rsidRPr="005E6206" w:rsidRDefault="00A615D2" w:rsidP="005B1653">
            <w:pPr>
              <w:rPr>
                <w:rFonts w:ascii="Arial" w:hAnsi="Arial" w:cs="Arial"/>
                <w:sz w:val="20"/>
                <w:szCs w:val="20"/>
              </w:rPr>
            </w:pPr>
          </w:p>
        </w:tc>
        <w:tc>
          <w:tcPr>
            <w:tcW w:w="2985" w:type="dxa"/>
            <w:tcBorders>
              <w:top w:val="single" w:sz="4" w:space="0" w:color="auto"/>
              <w:bottom w:val="single" w:sz="4" w:space="0" w:color="auto"/>
            </w:tcBorders>
          </w:tcPr>
          <w:p w14:paraId="206CBF02" w14:textId="77777777" w:rsidR="00A615D2" w:rsidRPr="005E6206" w:rsidRDefault="00A615D2" w:rsidP="005B1653">
            <w:pPr>
              <w:contextualSpacing/>
              <w:rPr>
                <w:rFonts w:ascii="Arial" w:hAnsi="Arial" w:cs="Arial"/>
                <w:b/>
                <w:sz w:val="24"/>
                <w:szCs w:val="24"/>
              </w:rPr>
            </w:pPr>
            <w:r w:rsidRPr="005E6206">
              <w:rPr>
                <w:rFonts w:ascii="Arial" w:hAnsi="Arial" w:cs="Arial"/>
                <w:b/>
                <w:sz w:val="24"/>
                <w:szCs w:val="24"/>
              </w:rPr>
              <w:t>Elements to Complete</w:t>
            </w:r>
          </w:p>
        </w:tc>
        <w:tc>
          <w:tcPr>
            <w:tcW w:w="7110" w:type="dxa"/>
            <w:tcBorders>
              <w:top w:val="single" w:sz="4" w:space="0" w:color="auto"/>
              <w:bottom w:val="single" w:sz="4" w:space="0" w:color="auto"/>
            </w:tcBorders>
          </w:tcPr>
          <w:p w14:paraId="06E88141" w14:textId="77777777" w:rsidR="00A615D2" w:rsidRPr="005E6206" w:rsidRDefault="00A615D2" w:rsidP="005B1653">
            <w:pPr>
              <w:contextualSpacing/>
              <w:rPr>
                <w:rFonts w:ascii="Arial" w:hAnsi="Arial" w:cs="Arial"/>
                <w:b/>
                <w:sz w:val="24"/>
                <w:szCs w:val="24"/>
              </w:rPr>
            </w:pPr>
            <w:r w:rsidRPr="005E6206">
              <w:rPr>
                <w:rFonts w:ascii="Arial" w:hAnsi="Arial" w:cs="Arial"/>
                <w:b/>
                <w:sz w:val="24"/>
                <w:szCs w:val="24"/>
              </w:rPr>
              <w:t>Notes</w:t>
            </w:r>
          </w:p>
        </w:tc>
        <w:tc>
          <w:tcPr>
            <w:tcW w:w="270" w:type="dxa"/>
            <w:tcBorders>
              <w:top w:val="single" w:sz="4" w:space="0" w:color="auto"/>
              <w:bottom w:val="single" w:sz="4" w:space="0" w:color="auto"/>
            </w:tcBorders>
            <w:shd w:val="clear" w:color="auto" w:fill="E2EFD9" w:themeFill="accent6" w:themeFillTint="33"/>
          </w:tcPr>
          <w:p w14:paraId="20B356B5" w14:textId="77777777" w:rsidR="00A615D2" w:rsidRPr="005E6206" w:rsidRDefault="00A615D2" w:rsidP="005B1653">
            <w:pPr>
              <w:contextualSpacing/>
              <w:rPr>
                <w:rFonts w:ascii="Arial" w:hAnsi="Arial" w:cs="Arial"/>
                <w:b/>
                <w:sz w:val="24"/>
                <w:szCs w:val="24"/>
              </w:rPr>
            </w:pPr>
          </w:p>
        </w:tc>
      </w:tr>
      <w:tr w:rsidR="00A615D2" w:rsidRPr="005E6206" w14:paraId="3D1369FF" w14:textId="77777777" w:rsidTr="00DF761F">
        <w:sdt>
          <w:sdtPr>
            <w:rPr>
              <w:rFonts w:ascii="Arial" w:hAnsi="Arial" w:cs="Arial"/>
              <w:sz w:val="20"/>
              <w:szCs w:val="20"/>
            </w:rPr>
            <w:id w:val="479350647"/>
            <w14:checkbox>
              <w14:checked w14:val="0"/>
              <w14:checkedState w14:val="2612" w14:font="MS Gothic"/>
              <w14:uncheckedState w14:val="2610" w14:font="MS Gothic"/>
            </w14:checkbox>
          </w:sdtPr>
          <w:sdtEndPr/>
          <w:sdtContent>
            <w:tc>
              <w:tcPr>
                <w:tcW w:w="430" w:type="dxa"/>
                <w:tcBorders>
                  <w:top w:val="single" w:sz="4" w:space="0" w:color="auto"/>
                  <w:bottom w:val="single" w:sz="4" w:space="0" w:color="auto"/>
                </w:tcBorders>
              </w:tcPr>
              <w:p w14:paraId="230E695C" w14:textId="77777777" w:rsidR="00A615D2" w:rsidRPr="005E6206" w:rsidRDefault="007D38DE" w:rsidP="005B1653">
                <w:pPr>
                  <w:rPr>
                    <w:rFonts w:ascii="Arial" w:hAnsi="Arial" w:cs="Arial"/>
                    <w:sz w:val="20"/>
                    <w:szCs w:val="20"/>
                  </w:rPr>
                </w:pPr>
                <w:r w:rsidRPr="005E6206">
                  <w:rPr>
                    <w:rFonts w:ascii="Segoe UI Symbol" w:eastAsia="MS Gothic" w:hAnsi="Segoe UI Symbol" w:cs="Segoe UI Symbol"/>
                    <w:sz w:val="20"/>
                    <w:szCs w:val="20"/>
                  </w:rPr>
                  <w:t>☐</w:t>
                </w:r>
              </w:p>
            </w:tc>
          </w:sdtContent>
        </w:sdt>
        <w:tc>
          <w:tcPr>
            <w:tcW w:w="2985" w:type="dxa"/>
            <w:tcBorders>
              <w:top w:val="single" w:sz="4" w:space="0" w:color="auto"/>
              <w:bottom w:val="single" w:sz="4" w:space="0" w:color="auto"/>
            </w:tcBorders>
          </w:tcPr>
          <w:p w14:paraId="7AECC15D" w14:textId="77777777" w:rsidR="00A615D2" w:rsidRPr="005E6206" w:rsidRDefault="00A615D2" w:rsidP="005B1653">
            <w:pPr>
              <w:contextualSpacing/>
              <w:rPr>
                <w:rFonts w:ascii="Arial" w:hAnsi="Arial" w:cs="Arial"/>
                <w:b/>
                <w:sz w:val="20"/>
                <w:szCs w:val="20"/>
              </w:rPr>
            </w:pPr>
            <w:r w:rsidRPr="005E6206">
              <w:rPr>
                <w:rFonts w:ascii="Arial" w:hAnsi="Arial" w:cs="Arial"/>
                <w:b/>
                <w:sz w:val="20"/>
                <w:szCs w:val="20"/>
              </w:rPr>
              <w:t xml:space="preserve">Other Support </w:t>
            </w:r>
          </w:p>
        </w:tc>
        <w:tc>
          <w:tcPr>
            <w:tcW w:w="7110" w:type="dxa"/>
            <w:tcBorders>
              <w:top w:val="single" w:sz="4" w:space="0" w:color="auto"/>
              <w:bottom w:val="single" w:sz="4" w:space="0" w:color="auto"/>
            </w:tcBorders>
          </w:tcPr>
          <w:p w14:paraId="67C30FE8" w14:textId="77777777" w:rsidR="00A615D2" w:rsidRPr="005E6206" w:rsidRDefault="007D38DE" w:rsidP="005B1653">
            <w:pPr>
              <w:contextualSpacing/>
              <w:rPr>
                <w:rFonts w:ascii="Arial" w:hAnsi="Arial" w:cs="Arial"/>
                <w:sz w:val="20"/>
                <w:szCs w:val="20"/>
              </w:rPr>
            </w:pPr>
            <w:r w:rsidRPr="005E6206">
              <w:rPr>
                <w:rFonts w:ascii="Arial" w:hAnsi="Arial" w:cs="Arial"/>
                <w:sz w:val="20"/>
                <w:szCs w:val="20"/>
              </w:rPr>
              <w:t>No Page Limit</w:t>
            </w:r>
          </w:p>
        </w:tc>
        <w:tc>
          <w:tcPr>
            <w:tcW w:w="270" w:type="dxa"/>
            <w:tcBorders>
              <w:top w:val="single" w:sz="4" w:space="0" w:color="auto"/>
              <w:bottom w:val="single" w:sz="4" w:space="0" w:color="auto"/>
            </w:tcBorders>
            <w:shd w:val="clear" w:color="auto" w:fill="E2EFD9" w:themeFill="accent6" w:themeFillTint="33"/>
          </w:tcPr>
          <w:p w14:paraId="414632B0" w14:textId="77777777" w:rsidR="00A615D2" w:rsidRPr="005E6206" w:rsidRDefault="00A615D2" w:rsidP="005B1653">
            <w:pPr>
              <w:contextualSpacing/>
              <w:rPr>
                <w:rFonts w:ascii="Arial" w:hAnsi="Arial" w:cs="Arial"/>
                <w:sz w:val="20"/>
                <w:szCs w:val="20"/>
              </w:rPr>
            </w:pPr>
          </w:p>
        </w:tc>
      </w:tr>
      <w:tr w:rsidR="007D38DE" w:rsidRPr="005E6206" w14:paraId="5103378F" w14:textId="77777777" w:rsidTr="00DF761F">
        <w:tc>
          <w:tcPr>
            <w:tcW w:w="430" w:type="dxa"/>
            <w:tcBorders>
              <w:top w:val="single" w:sz="4" w:space="0" w:color="auto"/>
              <w:bottom w:val="single" w:sz="4" w:space="0" w:color="auto"/>
            </w:tcBorders>
          </w:tcPr>
          <w:p w14:paraId="2CD6303B" w14:textId="77777777" w:rsidR="007D38DE" w:rsidRPr="005E6206" w:rsidRDefault="007D38DE" w:rsidP="005B1653">
            <w:pPr>
              <w:rPr>
                <w:rFonts w:ascii="Arial" w:hAnsi="Arial" w:cs="Arial"/>
              </w:rPr>
            </w:pPr>
          </w:p>
        </w:tc>
        <w:tc>
          <w:tcPr>
            <w:tcW w:w="10095" w:type="dxa"/>
            <w:gridSpan w:val="2"/>
            <w:tcBorders>
              <w:top w:val="single" w:sz="4" w:space="0" w:color="auto"/>
              <w:bottom w:val="single" w:sz="4" w:space="0" w:color="auto"/>
            </w:tcBorders>
          </w:tcPr>
          <w:p w14:paraId="3005240C" w14:textId="77777777" w:rsidR="007D38DE" w:rsidRPr="005E6206" w:rsidRDefault="007D38DE" w:rsidP="00270D4F">
            <w:pPr>
              <w:pStyle w:val="ListParagraph"/>
              <w:numPr>
                <w:ilvl w:val="0"/>
                <w:numId w:val="5"/>
              </w:numPr>
              <w:spacing w:after="0" w:line="240" w:lineRule="auto"/>
              <w:rPr>
                <w:rFonts w:ascii="Arial" w:hAnsi="Arial" w:cs="Arial"/>
                <w:sz w:val="20"/>
                <w:szCs w:val="20"/>
              </w:rPr>
            </w:pPr>
            <w:r w:rsidRPr="005E6206">
              <w:rPr>
                <w:rFonts w:ascii="Arial" w:hAnsi="Arial" w:cs="Arial"/>
                <w:sz w:val="20"/>
                <w:szCs w:val="20"/>
              </w:rPr>
              <w:t>Required for PD/PI and all senior key person</w:t>
            </w:r>
            <w:r w:rsidR="002758D0" w:rsidRPr="005E6206">
              <w:rPr>
                <w:rFonts w:ascii="Arial" w:hAnsi="Arial" w:cs="Arial"/>
                <w:sz w:val="20"/>
                <w:szCs w:val="20"/>
              </w:rPr>
              <w:t xml:space="preserve">nel listed on the application. </w:t>
            </w:r>
            <w:r w:rsidRPr="005E6206">
              <w:rPr>
                <w:rFonts w:ascii="Arial" w:hAnsi="Arial" w:cs="Arial"/>
                <w:sz w:val="20"/>
                <w:szCs w:val="20"/>
              </w:rPr>
              <w:t>Generally postdoctoral and graduate students do not meet the definition of senior/key personnel</w:t>
            </w:r>
          </w:p>
          <w:p w14:paraId="5044A751" w14:textId="77777777" w:rsidR="007D38DE" w:rsidRPr="005E6206" w:rsidRDefault="007D38DE" w:rsidP="00270D4F">
            <w:pPr>
              <w:pStyle w:val="ListParagraph"/>
              <w:numPr>
                <w:ilvl w:val="0"/>
                <w:numId w:val="5"/>
              </w:numPr>
              <w:spacing w:after="0" w:line="240" w:lineRule="auto"/>
              <w:rPr>
                <w:rFonts w:ascii="Arial" w:hAnsi="Arial" w:cs="Arial"/>
                <w:sz w:val="20"/>
                <w:szCs w:val="20"/>
              </w:rPr>
            </w:pPr>
            <w:r w:rsidRPr="005E6206">
              <w:rPr>
                <w:rFonts w:ascii="Arial" w:hAnsi="Arial" w:cs="Arial"/>
                <w:sz w:val="20"/>
                <w:szCs w:val="20"/>
              </w:rPr>
              <w:t xml:space="preserve">Include research support for active grants, pending </w:t>
            </w:r>
            <w:r w:rsidR="002758D0" w:rsidRPr="005E6206">
              <w:rPr>
                <w:rFonts w:ascii="Arial" w:hAnsi="Arial" w:cs="Arial"/>
                <w:sz w:val="20"/>
                <w:szCs w:val="20"/>
              </w:rPr>
              <w:t>grants and an overlap statement</w:t>
            </w:r>
            <w:r w:rsidRPr="005E6206">
              <w:rPr>
                <w:rFonts w:ascii="Arial" w:hAnsi="Arial" w:cs="Arial"/>
                <w:sz w:val="20"/>
                <w:szCs w:val="20"/>
              </w:rPr>
              <w:t xml:space="preserve">  </w:t>
            </w:r>
          </w:p>
          <w:p w14:paraId="74D3A8C9" w14:textId="77777777" w:rsidR="007D38DE" w:rsidRPr="005E6206" w:rsidRDefault="007D38DE" w:rsidP="00270D4F">
            <w:pPr>
              <w:pStyle w:val="ListParagraph"/>
              <w:numPr>
                <w:ilvl w:val="0"/>
                <w:numId w:val="5"/>
              </w:numPr>
              <w:spacing w:after="0" w:line="240" w:lineRule="auto"/>
              <w:rPr>
                <w:rFonts w:ascii="Arial" w:hAnsi="Arial" w:cs="Arial"/>
                <w:sz w:val="20"/>
                <w:szCs w:val="20"/>
              </w:rPr>
            </w:pPr>
            <w:r w:rsidRPr="005E6206">
              <w:rPr>
                <w:rFonts w:ascii="Arial" w:hAnsi="Arial" w:cs="Arial"/>
                <w:sz w:val="20"/>
                <w:szCs w:val="20"/>
              </w:rPr>
              <w:t>Refer</w:t>
            </w:r>
            <w:r w:rsidR="00270D4F" w:rsidRPr="005E6206">
              <w:rPr>
                <w:rFonts w:ascii="Arial" w:hAnsi="Arial" w:cs="Arial"/>
                <w:sz w:val="20"/>
                <w:szCs w:val="20"/>
              </w:rPr>
              <w:t xml:space="preserve">ence </w:t>
            </w:r>
            <w:hyperlink r:id="rId9" w:history="1">
              <w:r w:rsidR="00270D4F" w:rsidRPr="005E6206">
                <w:rPr>
                  <w:rStyle w:val="Hyperlink"/>
                  <w:rFonts w:ascii="Arial" w:hAnsi="Arial" w:cs="Arial"/>
                  <w:sz w:val="20"/>
                  <w:szCs w:val="20"/>
                </w:rPr>
                <w:t>NIH Template</w:t>
              </w:r>
            </w:hyperlink>
            <w:r w:rsidR="002758D0" w:rsidRPr="005E6206">
              <w:rPr>
                <w:rFonts w:ascii="Arial" w:hAnsi="Arial" w:cs="Arial"/>
                <w:sz w:val="20"/>
                <w:szCs w:val="20"/>
              </w:rPr>
              <w:t xml:space="preserve"> for Other Support document.</w:t>
            </w:r>
            <w:r w:rsidR="00270D4F" w:rsidRPr="005E6206">
              <w:rPr>
                <w:rFonts w:ascii="Arial" w:hAnsi="Arial" w:cs="Arial"/>
                <w:sz w:val="20"/>
                <w:szCs w:val="20"/>
              </w:rPr>
              <w:t xml:space="preserve"> Reminder to remove headers and footers in template. Convert final document into a single PDF file</w:t>
            </w:r>
            <w:r w:rsidR="00DF761F" w:rsidRPr="005E6206">
              <w:rPr>
                <w:rFonts w:ascii="Arial" w:hAnsi="Arial" w:cs="Arial"/>
                <w:sz w:val="20"/>
                <w:szCs w:val="20"/>
              </w:rPr>
              <w:t>, and upload in the “Other Support File” section in eRA Commons</w:t>
            </w:r>
          </w:p>
          <w:p w14:paraId="76FF2977" w14:textId="77777777" w:rsidR="00270D4F" w:rsidRPr="005E6206" w:rsidRDefault="00270D4F" w:rsidP="00270D4F">
            <w:pPr>
              <w:pStyle w:val="ListParagraph"/>
              <w:numPr>
                <w:ilvl w:val="0"/>
                <w:numId w:val="5"/>
              </w:numPr>
              <w:spacing w:after="0" w:line="240" w:lineRule="auto"/>
              <w:rPr>
                <w:rFonts w:ascii="Arial" w:hAnsi="Arial" w:cs="Arial"/>
                <w:sz w:val="20"/>
                <w:szCs w:val="20"/>
              </w:rPr>
            </w:pPr>
            <w:r w:rsidRPr="005E6206">
              <w:rPr>
                <w:rFonts w:ascii="Arial" w:hAnsi="Arial" w:cs="Arial"/>
                <w:sz w:val="20"/>
                <w:szCs w:val="20"/>
              </w:rPr>
              <w:t>In</w:t>
            </w:r>
            <w:r w:rsidR="002758D0" w:rsidRPr="005E6206">
              <w:rPr>
                <w:rFonts w:ascii="Arial" w:hAnsi="Arial" w:cs="Arial"/>
                <w:sz w:val="20"/>
                <w:szCs w:val="20"/>
              </w:rPr>
              <w:t xml:space="preserve">clude project details such as: </w:t>
            </w:r>
            <w:r w:rsidRPr="005E6206">
              <w:rPr>
                <w:rFonts w:ascii="Arial" w:hAnsi="Arial" w:cs="Arial"/>
                <w:sz w:val="20"/>
                <w:szCs w:val="20"/>
              </w:rPr>
              <w:t>Project number, PI on project, role on project, source, project title, major goals, project dates, annual di</w:t>
            </w:r>
            <w:r w:rsidR="002758D0" w:rsidRPr="005E6206">
              <w:rPr>
                <w:rFonts w:ascii="Arial" w:hAnsi="Arial" w:cs="Arial"/>
                <w:sz w:val="20"/>
                <w:szCs w:val="20"/>
              </w:rPr>
              <w:t>rect cost, and calendar months)</w:t>
            </w:r>
            <w:r w:rsidRPr="005E6206">
              <w:rPr>
                <w:rFonts w:ascii="Arial" w:hAnsi="Arial" w:cs="Arial"/>
                <w:sz w:val="20"/>
                <w:szCs w:val="20"/>
              </w:rPr>
              <w:t xml:space="preserve">  </w:t>
            </w:r>
          </w:p>
          <w:p w14:paraId="33E0317F" w14:textId="77777777" w:rsidR="00305DBC" w:rsidRPr="005E6206" w:rsidRDefault="00270D4F" w:rsidP="00270D4F">
            <w:pPr>
              <w:pStyle w:val="ListParagraph"/>
              <w:numPr>
                <w:ilvl w:val="0"/>
                <w:numId w:val="5"/>
              </w:numPr>
              <w:spacing w:after="0" w:line="240" w:lineRule="auto"/>
              <w:rPr>
                <w:rFonts w:ascii="Arial" w:hAnsi="Arial" w:cs="Arial"/>
                <w:sz w:val="20"/>
                <w:szCs w:val="20"/>
              </w:rPr>
            </w:pPr>
            <w:r w:rsidRPr="005E6206">
              <w:rPr>
                <w:rFonts w:ascii="Arial" w:hAnsi="Arial" w:cs="Arial"/>
                <w:sz w:val="20"/>
                <w:szCs w:val="20"/>
              </w:rPr>
              <w:t>Ensure effort levels may not ex</w:t>
            </w:r>
            <w:r w:rsidR="002758D0" w:rsidRPr="005E6206">
              <w:rPr>
                <w:rFonts w:ascii="Arial" w:hAnsi="Arial" w:cs="Arial"/>
                <w:sz w:val="20"/>
                <w:szCs w:val="20"/>
              </w:rPr>
              <w:t>ceed 100% or 12 calendar months</w:t>
            </w:r>
            <w:r w:rsidRPr="005E6206">
              <w:rPr>
                <w:rFonts w:ascii="Arial" w:hAnsi="Arial" w:cs="Arial"/>
                <w:sz w:val="20"/>
                <w:szCs w:val="20"/>
              </w:rPr>
              <w:t xml:space="preserve"> </w:t>
            </w:r>
          </w:p>
          <w:p w14:paraId="35E6C393" w14:textId="09F2D36D" w:rsidR="00270D4F" w:rsidRPr="005E6206" w:rsidRDefault="00305DBC" w:rsidP="00DF76F0">
            <w:pPr>
              <w:pStyle w:val="ListParagraph"/>
              <w:numPr>
                <w:ilvl w:val="0"/>
                <w:numId w:val="5"/>
              </w:numPr>
              <w:spacing w:after="0" w:line="240" w:lineRule="auto"/>
              <w:rPr>
                <w:rFonts w:ascii="Arial" w:hAnsi="Arial" w:cs="Arial"/>
              </w:rPr>
            </w:pPr>
            <w:r w:rsidRPr="005E6206">
              <w:rPr>
                <w:rFonts w:ascii="Arial" w:hAnsi="Arial" w:cs="Arial"/>
                <w:sz w:val="20"/>
                <w:szCs w:val="20"/>
              </w:rPr>
              <w:t>If a Career Development Award Applications (NIH K and</w:t>
            </w:r>
            <w:r w:rsidR="00DF76F0" w:rsidRPr="005E6206">
              <w:rPr>
                <w:rFonts w:ascii="Arial" w:hAnsi="Arial" w:cs="Arial"/>
                <w:sz w:val="20"/>
                <w:szCs w:val="20"/>
              </w:rPr>
              <w:t>/or</w:t>
            </w:r>
            <w:r w:rsidRPr="005E6206">
              <w:rPr>
                <w:rFonts w:ascii="Arial" w:hAnsi="Arial" w:cs="Arial"/>
                <w:sz w:val="20"/>
                <w:szCs w:val="20"/>
              </w:rPr>
              <w:t xml:space="preserve"> F mechanisms), the other support is required for the candidate’s sponsor(s), co-sponsor(s), </w:t>
            </w:r>
            <w:r w:rsidR="00DF76F0" w:rsidRPr="005E6206">
              <w:rPr>
                <w:rFonts w:ascii="Arial" w:hAnsi="Arial" w:cs="Arial"/>
                <w:sz w:val="20"/>
                <w:szCs w:val="20"/>
              </w:rPr>
              <w:t>mentor and co-mentor</w:t>
            </w:r>
          </w:p>
        </w:tc>
        <w:tc>
          <w:tcPr>
            <w:tcW w:w="270" w:type="dxa"/>
            <w:tcBorders>
              <w:top w:val="single" w:sz="4" w:space="0" w:color="auto"/>
              <w:bottom w:val="single" w:sz="4" w:space="0" w:color="auto"/>
            </w:tcBorders>
            <w:shd w:val="clear" w:color="auto" w:fill="E2EFD9" w:themeFill="accent6" w:themeFillTint="33"/>
          </w:tcPr>
          <w:p w14:paraId="70E9B64A" w14:textId="77777777" w:rsidR="007D38DE" w:rsidRPr="005E6206" w:rsidRDefault="007D38DE" w:rsidP="005B1653">
            <w:pPr>
              <w:contextualSpacing/>
              <w:rPr>
                <w:rFonts w:ascii="Arial" w:hAnsi="Arial" w:cs="Arial"/>
              </w:rPr>
            </w:pPr>
          </w:p>
        </w:tc>
      </w:tr>
      <w:tr w:rsidR="00DF76F0" w:rsidRPr="005E6206" w14:paraId="73808AA1" w14:textId="77777777" w:rsidTr="002B0033">
        <w:sdt>
          <w:sdtPr>
            <w:rPr>
              <w:rFonts w:ascii="Arial" w:hAnsi="Arial" w:cs="Arial"/>
            </w:rPr>
            <w:id w:val="28998895"/>
            <w14:checkbox>
              <w14:checked w14:val="0"/>
              <w14:checkedState w14:val="2612" w14:font="MS Gothic"/>
              <w14:uncheckedState w14:val="2610" w14:font="MS Gothic"/>
            </w14:checkbox>
          </w:sdtPr>
          <w:sdtEndPr/>
          <w:sdtContent>
            <w:tc>
              <w:tcPr>
                <w:tcW w:w="430" w:type="dxa"/>
                <w:tcBorders>
                  <w:top w:val="single" w:sz="4" w:space="0" w:color="auto"/>
                  <w:bottom w:val="single" w:sz="4" w:space="0" w:color="auto"/>
                </w:tcBorders>
              </w:tcPr>
              <w:p w14:paraId="1BE0F085" w14:textId="77777777" w:rsidR="00DF76F0" w:rsidRPr="005E6206" w:rsidRDefault="00DF76F0" w:rsidP="00DF76F0">
                <w:pPr>
                  <w:rPr>
                    <w:rFonts w:ascii="Arial" w:hAnsi="Arial" w:cs="Arial"/>
                  </w:rPr>
                </w:pPr>
                <w:r w:rsidRPr="005E6206">
                  <w:rPr>
                    <w:rFonts w:ascii="Segoe UI Symbol" w:hAnsi="Segoe UI Symbol" w:cs="Segoe UI Symbol"/>
                  </w:rPr>
                  <w:t>☐</w:t>
                </w:r>
              </w:p>
            </w:tc>
          </w:sdtContent>
        </w:sdt>
        <w:tc>
          <w:tcPr>
            <w:tcW w:w="2985" w:type="dxa"/>
            <w:tcBorders>
              <w:top w:val="single" w:sz="4" w:space="0" w:color="auto"/>
              <w:bottom w:val="single" w:sz="4" w:space="0" w:color="auto"/>
            </w:tcBorders>
          </w:tcPr>
          <w:p w14:paraId="1F77EEA4" w14:textId="5228FFD4" w:rsidR="00DF76F0" w:rsidRPr="005E6206" w:rsidRDefault="00DF76F0" w:rsidP="00DF76F0">
            <w:pPr>
              <w:rPr>
                <w:rFonts w:ascii="Arial" w:hAnsi="Arial" w:cs="Arial"/>
                <w:b/>
              </w:rPr>
            </w:pPr>
            <w:r w:rsidRPr="005E6206">
              <w:rPr>
                <w:rFonts w:ascii="Arial" w:hAnsi="Arial" w:cs="Arial"/>
                <w:b/>
              </w:rPr>
              <w:t xml:space="preserve">Biosketch </w:t>
            </w:r>
          </w:p>
        </w:tc>
        <w:tc>
          <w:tcPr>
            <w:tcW w:w="7110" w:type="dxa"/>
            <w:tcBorders>
              <w:top w:val="single" w:sz="4" w:space="0" w:color="auto"/>
              <w:bottom w:val="single" w:sz="4" w:space="0" w:color="auto"/>
            </w:tcBorders>
          </w:tcPr>
          <w:p w14:paraId="570AD8A0" w14:textId="2349E936" w:rsidR="00DF76F0" w:rsidRPr="005E6206" w:rsidRDefault="00DF76F0" w:rsidP="00DF76F0">
            <w:pPr>
              <w:rPr>
                <w:rFonts w:ascii="Arial" w:hAnsi="Arial" w:cs="Arial"/>
              </w:rPr>
            </w:pPr>
            <w:r w:rsidRPr="005E6206">
              <w:rPr>
                <w:rFonts w:ascii="Arial" w:hAnsi="Arial" w:cs="Arial"/>
              </w:rPr>
              <w:t>5 Page Limit</w:t>
            </w:r>
          </w:p>
        </w:tc>
        <w:tc>
          <w:tcPr>
            <w:tcW w:w="270" w:type="dxa"/>
            <w:tcBorders>
              <w:top w:val="single" w:sz="4" w:space="0" w:color="auto"/>
              <w:bottom w:val="single" w:sz="4" w:space="0" w:color="auto"/>
            </w:tcBorders>
            <w:shd w:val="clear" w:color="auto" w:fill="E2EFD9" w:themeFill="accent6" w:themeFillTint="33"/>
          </w:tcPr>
          <w:p w14:paraId="5625642A" w14:textId="77777777" w:rsidR="00DF76F0" w:rsidRPr="005E6206" w:rsidRDefault="00DF76F0" w:rsidP="00DF76F0">
            <w:pPr>
              <w:rPr>
                <w:rFonts w:ascii="Arial" w:hAnsi="Arial" w:cs="Arial"/>
              </w:rPr>
            </w:pPr>
          </w:p>
        </w:tc>
      </w:tr>
      <w:tr w:rsidR="00DF76F0" w:rsidRPr="005E6206" w14:paraId="354131C2" w14:textId="77777777" w:rsidTr="00DF761F">
        <w:tc>
          <w:tcPr>
            <w:tcW w:w="430" w:type="dxa"/>
            <w:tcBorders>
              <w:top w:val="single" w:sz="4" w:space="0" w:color="auto"/>
              <w:bottom w:val="single" w:sz="4" w:space="0" w:color="auto"/>
            </w:tcBorders>
          </w:tcPr>
          <w:p w14:paraId="402B9ED8" w14:textId="77777777" w:rsidR="00DF76F0" w:rsidRPr="005E6206" w:rsidRDefault="00DF76F0" w:rsidP="005B1653">
            <w:pPr>
              <w:rPr>
                <w:rFonts w:ascii="Arial" w:hAnsi="Arial" w:cs="Arial"/>
              </w:rPr>
            </w:pPr>
          </w:p>
        </w:tc>
        <w:tc>
          <w:tcPr>
            <w:tcW w:w="10095" w:type="dxa"/>
            <w:gridSpan w:val="2"/>
            <w:tcBorders>
              <w:top w:val="single" w:sz="4" w:space="0" w:color="auto"/>
              <w:bottom w:val="single" w:sz="4" w:space="0" w:color="auto"/>
            </w:tcBorders>
          </w:tcPr>
          <w:p w14:paraId="64799371" w14:textId="6584915C" w:rsidR="00DF76F0" w:rsidRPr="005E6206" w:rsidRDefault="00DF76F0" w:rsidP="00270D4F">
            <w:pPr>
              <w:pStyle w:val="ListParagraph"/>
              <w:numPr>
                <w:ilvl w:val="0"/>
                <w:numId w:val="5"/>
              </w:numPr>
              <w:spacing w:after="0" w:line="240" w:lineRule="auto"/>
              <w:rPr>
                <w:rFonts w:ascii="Arial" w:hAnsi="Arial" w:cs="Arial"/>
                <w:sz w:val="20"/>
                <w:szCs w:val="20"/>
              </w:rPr>
            </w:pPr>
            <w:r w:rsidRPr="005E6206">
              <w:rPr>
                <w:rFonts w:ascii="Arial" w:hAnsi="Arial" w:cs="Arial"/>
                <w:sz w:val="20"/>
                <w:szCs w:val="20"/>
              </w:rPr>
              <w:t>Required for new key personnel that have been added to the application since the submission.</w:t>
            </w:r>
          </w:p>
        </w:tc>
        <w:tc>
          <w:tcPr>
            <w:tcW w:w="270" w:type="dxa"/>
            <w:tcBorders>
              <w:top w:val="single" w:sz="4" w:space="0" w:color="auto"/>
              <w:bottom w:val="single" w:sz="4" w:space="0" w:color="auto"/>
            </w:tcBorders>
            <w:shd w:val="clear" w:color="auto" w:fill="E2EFD9" w:themeFill="accent6" w:themeFillTint="33"/>
          </w:tcPr>
          <w:p w14:paraId="271A4120" w14:textId="77777777" w:rsidR="00DF76F0" w:rsidRPr="005E6206" w:rsidRDefault="00DF76F0" w:rsidP="005B1653">
            <w:pPr>
              <w:contextualSpacing/>
              <w:rPr>
                <w:rFonts w:ascii="Arial" w:hAnsi="Arial" w:cs="Arial"/>
              </w:rPr>
            </w:pPr>
          </w:p>
        </w:tc>
      </w:tr>
    </w:tbl>
    <w:p w14:paraId="268CAF8C" w14:textId="1F3FF594" w:rsidR="00305DBC" w:rsidRPr="005E6206" w:rsidRDefault="00305DBC" w:rsidP="00305DBC">
      <w:pPr>
        <w:spacing w:after="0" w:line="240" w:lineRule="auto"/>
        <w:rPr>
          <w:rFonts w:ascii="Arial" w:hAnsi="Arial" w:cs="Arial"/>
        </w:rPr>
      </w:pPr>
    </w:p>
    <w:p w14:paraId="0F2FCAD7" w14:textId="77777777" w:rsidR="00305DBC" w:rsidRDefault="00305DBC" w:rsidP="00305DBC">
      <w:pPr>
        <w:spacing w:after="0" w:line="240" w:lineRule="auto"/>
        <w:rPr>
          <w:rFonts w:ascii="Arial" w:hAnsi="Arial" w:cs="Arial"/>
        </w:rPr>
      </w:pPr>
    </w:p>
    <w:p w14:paraId="0F335B97" w14:textId="77777777" w:rsidR="0071208A" w:rsidRPr="005E6206" w:rsidRDefault="0071208A" w:rsidP="00305DBC">
      <w:pPr>
        <w:spacing w:after="0" w:line="240" w:lineRule="auto"/>
        <w:rPr>
          <w:rFonts w:ascii="Arial" w:hAnsi="Arial" w:cs="Arial"/>
        </w:rPr>
      </w:pPr>
    </w:p>
    <w:tbl>
      <w:tblPr>
        <w:tblStyle w:val="TableGrid"/>
        <w:tblpPr w:leftFromText="180" w:rightFromText="180" w:vertAnchor="text" w:tblpY="1"/>
        <w:tblOverlap w:val="never"/>
        <w:tblW w:w="10795" w:type="dxa"/>
        <w:tblLayout w:type="fixed"/>
        <w:tblCellMar>
          <w:top w:w="43" w:type="dxa"/>
          <w:left w:w="115" w:type="dxa"/>
          <w:bottom w:w="43" w:type="dxa"/>
          <w:right w:w="115" w:type="dxa"/>
        </w:tblCellMar>
        <w:tblLook w:val="04A0" w:firstRow="1" w:lastRow="0" w:firstColumn="1" w:lastColumn="0" w:noHBand="0" w:noVBand="1"/>
      </w:tblPr>
      <w:tblGrid>
        <w:gridCol w:w="430"/>
        <w:gridCol w:w="2985"/>
        <w:gridCol w:w="7110"/>
        <w:gridCol w:w="270"/>
      </w:tblGrid>
      <w:tr w:rsidR="00305DBC" w:rsidRPr="005E6206" w14:paraId="0CFA475B" w14:textId="77777777" w:rsidTr="00DF761F">
        <w:tc>
          <w:tcPr>
            <w:tcW w:w="430" w:type="dxa"/>
            <w:tcBorders>
              <w:top w:val="single" w:sz="4" w:space="0" w:color="auto"/>
              <w:bottom w:val="single" w:sz="4" w:space="0" w:color="auto"/>
            </w:tcBorders>
          </w:tcPr>
          <w:p w14:paraId="73250CF9" w14:textId="77777777" w:rsidR="00305DBC" w:rsidRPr="005E6206" w:rsidRDefault="00305DBC" w:rsidP="00305DBC">
            <w:pPr>
              <w:rPr>
                <w:rFonts w:ascii="Arial" w:hAnsi="Arial" w:cs="Arial"/>
              </w:rPr>
            </w:pPr>
          </w:p>
        </w:tc>
        <w:tc>
          <w:tcPr>
            <w:tcW w:w="2985" w:type="dxa"/>
            <w:tcBorders>
              <w:top w:val="single" w:sz="4" w:space="0" w:color="auto"/>
              <w:bottom w:val="single" w:sz="4" w:space="0" w:color="auto"/>
            </w:tcBorders>
          </w:tcPr>
          <w:p w14:paraId="6F6F9EDF" w14:textId="0F77C9CC" w:rsidR="00305DBC" w:rsidRPr="005E6206" w:rsidRDefault="00305DBC" w:rsidP="00305DBC">
            <w:pPr>
              <w:contextualSpacing/>
              <w:rPr>
                <w:rFonts w:ascii="Arial" w:hAnsi="Arial" w:cs="Arial"/>
                <w:b/>
                <w:sz w:val="20"/>
                <w:szCs w:val="20"/>
              </w:rPr>
            </w:pPr>
            <w:r w:rsidRPr="005E6206">
              <w:rPr>
                <w:rFonts w:ascii="Arial" w:hAnsi="Arial" w:cs="Arial"/>
                <w:b/>
                <w:sz w:val="24"/>
                <w:szCs w:val="24"/>
              </w:rPr>
              <w:t>Elements to Complete</w:t>
            </w:r>
          </w:p>
        </w:tc>
        <w:tc>
          <w:tcPr>
            <w:tcW w:w="7110" w:type="dxa"/>
            <w:tcBorders>
              <w:top w:val="single" w:sz="4" w:space="0" w:color="auto"/>
              <w:bottom w:val="single" w:sz="4" w:space="0" w:color="auto"/>
            </w:tcBorders>
          </w:tcPr>
          <w:p w14:paraId="282EB8F0" w14:textId="0185590D" w:rsidR="00305DBC" w:rsidRPr="005E6206" w:rsidRDefault="00305DBC" w:rsidP="00305DBC">
            <w:pPr>
              <w:contextualSpacing/>
              <w:rPr>
                <w:rFonts w:ascii="Arial" w:hAnsi="Arial" w:cs="Arial"/>
                <w:sz w:val="20"/>
                <w:szCs w:val="20"/>
              </w:rPr>
            </w:pPr>
            <w:r w:rsidRPr="005E6206">
              <w:rPr>
                <w:rFonts w:ascii="Arial" w:hAnsi="Arial" w:cs="Arial"/>
                <w:b/>
                <w:sz w:val="24"/>
                <w:szCs w:val="24"/>
              </w:rPr>
              <w:t>Notes</w:t>
            </w:r>
          </w:p>
        </w:tc>
        <w:tc>
          <w:tcPr>
            <w:tcW w:w="270" w:type="dxa"/>
            <w:tcBorders>
              <w:top w:val="single" w:sz="4" w:space="0" w:color="auto"/>
              <w:bottom w:val="single" w:sz="4" w:space="0" w:color="auto"/>
            </w:tcBorders>
            <w:shd w:val="clear" w:color="auto" w:fill="E2EFD9" w:themeFill="accent6" w:themeFillTint="33"/>
          </w:tcPr>
          <w:p w14:paraId="2379A6A2" w14:textId="77777777" w:rsidR="00305DBC" w:rsidRPr="005E6206" w:rsidRDefault="00305DBC" w:rsidP="00305DBC">
            <w:pPr>
              <w:contextualSpacing/>
              <w:rPr>
                <w:rFonts w:ascii="Arial" w:hAnsi="Arial" w:cs="Arial"/>
              </w:rPr>
            </w:pPr>
          </w:p>
        </w:tc>
      </w:tr>
      <w:tr w:rsidR="00DF761F" w:rsidRPr="005E6206" w14:paraId="48EE1BBB" w14:textId="77777777" w:rsidTr="00DF761F">
        <w:sdt>
          <w:sdtPr>
            <w:rPr>
              <w:rFonts w:ascii="Arial" w:hAnsi="Arial" w:cs="Arial"/>
            </w:rPr>
            <w:id w:val="-1267618366"/>
            <w14:checkbox>
              <w14:checked w14:val="0"/>
              <w14:checkedState w14:val="2612" w14:font="MS Gothic"/>
              <w14:uncheckedState w14:val="2610" w14:font="MS Gothic"/>
            </w14:checkbox>
          </w:sdtPr>
          <w:sdtEndPr/>
          <w:sdtContent>
            <w:tc>
              <w:tcPr>
                <w:tcW w:w="430" w:type="dxa"/>
                <w:tcBorders>
                  <w:top w:val="single" w:sz="4" w:space="0" w:color="auto"/>
                  <w:bottom w:val="single" w:sz="4" w:space="0" w:color="auto"/>
                </w:tcBorders>
              </w:tcPr>
              <w:p w14:paraId="608750FB" w14:textId="77777777" w:rsidR="00DF761F" w:rsidRPr="005E6206" w:rsidRDefault="00DF761F" w:rsidP="00DF761F">
                <w:pPr>
                  <w:rPr>
                    <w:rFonts w:ascii="Arial" w:hAnsi="Arial" w:cs="Arial"/>
                  </w:rPr>
                </w:pPr>
                <w:r w:rsidRPr="005E6206">
                  <w:rPr>
                    <w:rFonts w:ascii="Segoe UI Symbol" w:eastAsia="MS Gothic" w:hAnsi="Segoe UI Symbol" w:cs="Segoe UI Symbol"/>
                  </w:rPr>
                  <w:t>☐</w:t>
                </w:r>
              </w:p>
            </w:tc>
          </w:sdtContent>
        </w:sdt>
        <w:tc>
          <w:tcPr>
            <w:tcW w:w="2985" w:type="dxa"/>
            <w:tcBorders>
              <w:top w:val="single" w:sz="4" w:space="0" w:color="auto"/>
              <w:bottom w:val="single" w:sz="4" w:space="0" w:color="auto"/>
            </w:tcBorders>
          </w:tcPr>
          <w:p w14:paraId="423A97A8" w14:textId="77777777" w:rsidR="00DF761F" w:rsidRPr="005E6206" w:rsidRDefault="00DF761F" w:rsidP="00DF761F">
            <w:pPr>
              <w:contextualSpacing/>
              <w:rPr>
                <w:rFonts w:ascii="Arial" w:hAnsi="Arial" w:cs="Arial"/>
                <w:b/>
                <w:sz w:val="20"/>
                <w:szCs w:val="20"/>
              </w:rPr>
            </w:pPr>
            <w:r w:rsidRPr="005E6206">
              <w:rPr>
                <w:rFonts w:ascii="Arial" w:hAnsi="Arial" w:cs="Arial"/>
                <w:b/>
                <w:sz w:val="20"/>
                <w:szCs w:val="20"/>
              </w:rPr>
              <w:t>IACUC Approval</w:t>
            </w:r>
            <w:bookmarkStart w:id="0" w:name="_GoBack"/>
            <w:bookmarkEnd w:id="0"/>
          </w:p>
        </w:tc>
        <w:tc>
          <w:tcPr>
            <w:tcW w:w="7110" w:type="dxa"/>
            <w:tcBorders>
              <w:top w:val="single" w:sz="4" w:space="0" w:color="auto"/>
              <w:bottom w:val="single" w:sz="4" w:space="0" w:color="auto"/>
            </w:tcBorders>
          </w:tcPr>
          <w:p w14:paraId="5CD8E624" w14:textId="77777777" w:rsidR="00DF761F" w:rsidRPr="005E6206" w:rsidRDefault="00DF761F" w:rsidP="002758D0">
            <w:pPr>
              <w:contextualSpacing/>
              <w:rPr>
                <w:rFonts w:ascii="Arial" w:hAnsi="Arial" w:cs="Arial"/>
                <w:sz w:val="20"/>
                <w:szCs w:val="20"/>
              </w:rPr>
            </w:pPr>
            <w:r w:rsidRPr="005E6206">
              <w:rPr>
                <w:rFonts w:ascii="Arial" w:hAnsi="Arial" w:cs="Arial"/>
                <w:sz w:val="20"/>
                <w:szCs w:val="20"/>
              </w:rPr>
              <w:t xml:space="preserve">If </w:t>
            </w:r>
            <w:r w:rsidR="002F4521" w:rsidRPr="005E6206">
              <w:rPr>
                <w:rFonts w:ascii="Arial" w:hAnsi="Arial" w:cs="Arial"/>
                <w:sz w:val="20"/>
                <w:szCs w:val="20"/>
              </w:rPr>
              <w:t>applicable.</w:t>
            </w:r>
            <w:r w:rsidR="002758D0" w:rsidRPr="005E6206">
              <w:rPr>
                <w:rFonts w:ascii="Arial" w:hAnsi="Arial" w:cs="Arial"/>
                <w:sz w:val="20"/>
                <w:szCs w:val="20"/>
              </w:rPr>
              <w:t xml:space="preserve"> </w:t>
            </w:r>
            <w:r w:rsidR="00046B76" w:rsidRPr="005E6206">
              <w:rPr>
                <w:rFonts w:ascii="Arial" w:hAnsi="Arial" w:cs="Arial"/>
                <w:sz w:val="20"/>
                <w:szCs w:val="20"/>
              </w:rPr>
              <w:t>A</w:t>
            </w:r>
            <w:r w:rsidRPr="005E6206">
              <w:rPr>
                <w:rFonts w:ascii="Arial" w:hAnsi="Arial" w:cs="Arial"/>
                <w:sz w:val="20"/>
                <w:szCs w:val="20"/>
              </w:rPr>
              <w:t xml:space="preserve"> copy of the IACUC approval letter must be uploaded in the “Other Upload” Section in eRA Commons. Pending or out of date approvals are not acceptable. </w:t>
            </w:r>
          </w:p>
        </w:tc>
        <w:tc>
          <w:tcPr>
            <w:tcW w:w="270" w:type="dxa"/>
            <w:tcBorders>
              <w:top w:val="single" w:sz="4" w:space="0" w:color="auto"/>
              <w:bottom w:val="single" w:sz="4" w:space="0" w:color="auto"/>
            </w:tcBorders>
            <w:shd w:val="clear" w:color="auto" w:fill="E2EFD9" w:themeFill="accent6" w:themeFillTint="33"/>
          </w:tcPr>
          <w:p w14:paraId="0801D251" w14:textId="77777777" w:rsidR="00DF761F" w:rsidRPr="005E6206" w:rsidRDefault="00DF761F" w:rsidP="00DF761F">
            <w:pPr>
              <w:contextualSpacing/>
              <w:rPr>
                <w:rFonts w:ascii="Arial" w:hAnsi="Arial" w:cs="Arial"/>
              </w:rPr>
            </w:pPr>
          </w:p>
        </w:tc>
      </w:tr>
      <w:tr w:rsidR="00386F66" w:rsidRPr="005E6206" w14:paraId="426C0651" w14:textId="77777777" w:rsidTr="005B1653">
        <w:sdt>
          <w:sdtPr>
            <w:rPr>
              <w:rFonts w:ascii="Arial" w:hAnsi="Arial" w:cs="Arial"/>
            </w:rPr>
            <w:id w:val="700449508"/>
            <w14:checkbox>
              <w14:checked w14:val="0"/>
              <w14:checkedState w14:val="2612" w14:font="MS Gothic"/>
              <w14:uncheckedState w14:val="2610" w14:font="MS Gothic"/>
            </w14:checkbox>
          </w:sdtPr>
          <w:sdtEndPr/>
          <w:sdtContent>
            <w:tc>
              <w:tcPr>
                <w:tcW w:w="430" w:type="dxa"/>
                <w:tcBorders>
                  <w:top w:val="single" w:sz="4" w:space="0" w:color="auto"/>
                  <w:bottom w:val="single" w:sz="4" w:space="0" w:color="auto"/>
                </w:tcBorders>
              </w:tcPr>
              <w:p w14:paraId="71AAB883" w14:textId="77777777" w:rsidR="00386F66" w:rsidRPr="005E6206" w:rsidRDefault="00386F66" w:rsidP="005B1653">
                <w:pPr>
                  <w:rPr>
                    <w:rFonts w:ascii="Arial" w:hAnsi="Arial" w:cs="Arial"/>
                  </w:rPr>
                </w:pPr>
                <w:r w:rsidRPr="005E6206">
                  <w:rPr>
                    <w:rFonts w:ascii="Segoe UI Symbol" w:eastAsia="MS Gothic" w:hAnsi="Segoe UI Symbol" w:cs="Segoe UI Symbol"/>
                  </w:rPr>
                  <w:t>☐</w:t>
                </w:r>
              </w:p>
            </w:tc>
          </w:sdtContent>
        </w:sdt>
        <w:tc>
          <w:tcPr>
            <w:tcW w:w="2985" w:type="dxa"/>
            <w:tcBorders>
              <w:top w:val="single" w:sz="4" w:space="0" w:color="auto"/>
              <w:bottom w:val="single" w:sz="4" w:space="0" w:color="auto"/>
            </w:tcBorders>
          </w:tcPr>
          <w:p w14:paraId="3D7562CA" w14:textId="77777777" w:rsidR="00386F66" w:rsidRPr="005E6206" w:rsidRDefault="00386F66" w:rsidP="00386F66">
            <w:pPr>
              <w:contextualSpacing/>
              <w:rPr>
                <w:rFonts w:ascii="Arial" w:hAnsi="Arial" w:cs="Arial"/>
                <w:b/>
                <w:sz w:val="20"/>
                <w:szCs w:val="20"/>
              </w:rPr>
            </w:pPr>
            <w:r w:rsidRPr="005E6206">
              <w:rPr>
                <w:rFonts w:ascii="Arial" w:hAnsi="Arial" w:cs="Arial"/>
                <w:b/>
                <w:sz w:val="20"/>
                <w:szCs w:val="20"/>
              </w:rPr>
              <w:t>IRB Approval</w:t>
            </w:r>
          </w:p>
        </w:tc>
        <w:tc>
          <w:tcPr>
            <w:tcW w:w="7110" w:type="dxa"/>
            <w:tcBorders>
              <w:top w:val="single" w:sz="4" w:space="0" w:color="auto"/>
              <w:bottom w:val="single" w:sz="4" w:space="0" w:color="auto"/>
            </w:tcBorders>
          </w:tcPr>
          <w:p w14:paraId="5B5BBA1F" w14:textId="77777777" w:rsidR="00386F66" w:rsidRPr="005E6206" w:rsidRDefault="00386F66" w:rsidP="00007D0A">
            <w:pPr>
              <w:contextualSpacing/>
              <w:rPr>
                <w:rFonts w:ascii="Arial" w:hAnsi="Arial" w:cs="Arial"/>
                <w:sz w:val="20"/>
                <w:szCs w:val="20"/>
              </w:rPr>
            </w:pPr>
            <w:r w:rsidRPr="005E6206">
              <w:rPr>
                <w:rFonts w:ascii="Arial" w:hAnsi="Arial" w:cs="Arial"/>
                <w:sz w:val="20"/>
                <w:szCs w:val="20"/>
              </w:rPr>
              <w:t xml:space="preserve">If </w:t>
            </w:r>
            <w:r w:rsidR="002F4521" w:rsidRPr="005E6206">
              <w:rPr>
                <w:rFonts w:ascii="Arial" w:hAnsi="Arial" w:cs="Arial"/>
                <w:sz w:val="20"/>
                <w:szCs w:val="20"/>
              </w:rPr>
              <w:t>applicable.</w:t>
            </w:r>
            <w:r w:rsidRPr="005E6206">
              <w:rPr>
                <w:rFonts w:ascii="Arial" w:hAnsi="Arial" w:cs="Arial"/>
                <w:sz w:val="20"/>
                <w:szCs w:val="20"/>
              </w:rPr>
              <w:t xml:space="preserve"> </w:t>
            </w:r>
            <w:r w:rsidR="00007D0A" w:rsidRPr="005E6206">
              <w:rPr>
                <w:rFonts w:ascii="Arial" w:hAnsi="Arial" w:cs="Arial"/>
                <w:sz w:val="20"/>
                <w:szCs w:val="20"/>
              </w:rPr>
              <w:t>Select the d</w:t>
            </w:r>
            <w:r w:rsidR="00046B76" w:rsidRPr="005E6206">
              <w:rPr>
                <w:rFonts w:ascii="Arial" w:hAnsi="Arial" w:cs="Arial"/>
                <w:sz w:val="20"/>
                <w:szCs w:val="20"/>
              </w:rPr>
              <w:t xml:space="preserve">rop down for </w:t>
            </w:r>
            <w:r w:rsidR="00007D0A" w:rsidRPr="005E6206">
              <w:rPr>
                <w:rFonts w:ascii="Arial" w:hAnsi="Arial" w:cs="Arial"/>
                <w:sz w:val="20"/>
                <w:szCs w:val="20"/>
              </w:rPr>
              <w:t xml:space="preserve">the </w:t>
            </w:r>
            <w:r w:rsidR="00046B76" w:rsidRPr="005E6206">
              <w:rPr>
                <w:rFonts w:ascii="Arial" w:hAnsi="Arial" w:cs="Arial"/>
                <w:sz w:val="20"/>
                <w:szCs w:val="20"/>
              </w:rPr>
              <w:t>Assurance numb</w:t>
            </w:r>
            <w:r w:rsidR="00007D0A" w:rsidRPr="005E6206">
              <w:rPr>
                <w:rFonts w:ascii="Arial" w:hAnsi="Arial" w:cs="Arial"/>
                <w:sz w:val="20"/>
                <w:szCs w:val="20"/>
              </w:rPr>
              <w:t>er. If you select the</w:t>
            </w:r>
            <w:r w:rsidR="00BD195F" w:rsidRPr="005E6206">
              <w:rPr>
                <w:rFonts w:ascii="Arial" w:hAnsi="Arial" w:cs="Arial"/>
                <w:sz w:val="20"/>
                <w:szCs w:val="20"/>
              </w:rPr>
              <w:t xml:space="preserve"> Assurance</w:t>
            </w:r>
            <w:r w:rsidR="00046B76" w:rsidRPr="005E6206">
              <w:rPr>
                <w:rFonts w:ascii="Arial" w:hAnsi="Arial" w:cs="Arial"/>
                <w:sz w:val="20"/>
                <w:szCs w:val="20"/>
              </w:rPr>
              <w:t xml:space="preserve"> Number, </w:t>
            </w:r>
            <w:r w:rsidR="00007D0A" w:rsidRPr="005E6206">
              <w:rPr>
                <w:rFonts w:ascii="Arial" w:hAnsi="Arial" w:cs="Arial"/>
                <w:sz w:val="20"/>
                <w:szCs w:val="20"/>
              </w:rPr>
              <w:t xml:space="preserve">an </w:t>
            </w:r>
            <w:r w:rsidR="00046B76" w:rsidRPr="005E6206">
              <w:rPr>
                <w:rFonts w:ascii="Arial" w:hAnsi="Arial" w:cs="Arial"/>
                <w:sz w:val="20"/>
                <w:szCs w:val="20"/>
              </w:rPr>
              <w:t>approval date</w:t>
            </w:r>
            <w:r w:rsidR="00007D0A" w:rsidRPr="005E6206">
              <w:rPr>
                <w:rFonts w:ascii="Arial" w:hAnsi="Arial" w:cs="Arial"/>
                <w:sz w:val="20"/>
                <w:szCs w:val="20"/>
              </w:rPr>
              <w:t xml:space="preserve"> should be entered</w:t>
            </w:r>
            <w:r w:rsidR="00046B76" w:rsidRPr="005E6206">
              <w:rPr>
                <w:rFonts w:ascii="Arial" w:hAnsi="Arial" w:cs="Arial"/>
                <w:sz w:val="20"/>
                <w:szCs w:val="20"/>
              </w:rPr>
              <w:t xml:space="preserve">.  </w:t>
            </w:r>
            <w:r w:rsidR="00007D0A" w:rsidRPr="005E6206">
              <w:rPr>
                <w:rFonts w:ascii="Arial" w:hAnsi="Arial" w:cs="Arial"/>
                <w:sz w:val="20"/>
                <w:szCs w:val="20"/>
              </w:rPr>
              <w:t>Include a</w:t>
            </w:r>
            <w:r w:rsidRPr="005E6206">
              <w:rPr>
                <w:rFonts w:ascii="Arial" w:hAnsi="Arial" w:cs="Arial"/>
                <w:sz w:val="20"/>
                <w:szCs w:val="20"/>
              </w:rPr>
              <w:t xml:space="preserve"> copy of the IRB approval letter in the “Other Upload” Section in eRA Commons. Pending or out of date approvals are not acceptable. </w:t>
            </w:r>
          </w:p>
        </w:tc>
        <w:tc>
          <w:tcPr>
            <w:tcW w:w="270" w:type="dxa"/>
            <w:tcBorders>
              <w:top w:val="single" w:sz="4" w:space="0" w:color="auto"/>
              <w:bottom w:val="single" w:sz="4" w:space="0" w:color="auto"/>
            </w:tcBorders>
            <w:shd w:val="clear" w:color="auto" w:fill="E2EFD9" w:themeFill="accent6" w:themeFillTint="33"/>
          </w:tcPr>
          <w:p w14:paraId="69000FD3" w14:textId="77777777" w:rsidR="00386F66" w:rsidRPr="005E6206" w:rsidRDefault="00386F66" w:rsidP="005B1653">
            <w:pPr>
              <w:contextualSpacing/>
              <w:rPr>
                <w:rFonts w:ascii="Arial" w:hAnsi="Arial" w:cs="Arial"/>
              </w:rPr>
            </w:pPr>
          </w:p>
        </w:tc>
      </w:tr>
      <w:tr w:rsidR="00386F66" w:rsidRPr="005E6206" w14:paraId="09DC70AB" w14:textId="77777777" w:rsidTr="005B1653">
        <w:tc>
          <w:tcPr>
            <w:tcW w:w="430" w:type="dxa"/>
            <w:tcBorders>
              <w:top w:val="single" w:sz="4" w:space="0" w:color="auto"/>
            </w:tcBorders>
          </w:tcPr>
          <w:p w14:paraId="453B2426" w14:textId="77777777" w:rsidR="00386F66" w:rsidRPr="005E6206" w:rsidRDefault="00386F66" w:rsidP="005B1653">
            <w:pPr>
              <w:rPr>
                <w:rFonts w:ascii="Arial" w:hAnsi="Arial" w:cs="Arial"/>
              </w:rPr>
            </w:pPr>
          </w:p>
        </w:tc>
        <w:tc>
          <w:tcPr>
            <w:tcW w:w="10095" w:type="dxa"/>
            <w:gridSpan w:val="2"/>
            <w:tcBorders>
              <w:top w:val="single" w:sz="4" w:space="0" w:color="auto"/>
            </w:tcBorders>
          </w:tcPr>
          <w:p w14:paraId="08E68DAA" w14:textId="77777777" w:rsidR="00386F66" w:rsidRPr="005E6206" w:rsidRDefault="00386F66" w:rsidP="00386F66">
            <w:pPr>
              <w:pStyle w:val="ListParagraph"/>
              <w:numPr>
                <w:ilvl w:val="0"/>
                <w:numId w:val="5"/>
              </w:numPr>
              <w:spacing w:after="0" w:line="240" w:lineRule="auto"/>
              <w:rPr>
                <w:rFonts w:ascii="Arial" w:hAnsi="Arial" w:cs="Arial"/>
                <w:sz w:val="20"/>
                <w:szCs w:val="20"/>
              </w:rPr>
            </w:pPr>
            <w:r w:rsidRPr="005E6206">
              <w:rPr>
                <w:rFonts w:ascii="Arial" w:hAnsi="Arial" w:cs="Arial"/>
                <w:noProof/>
                <w:sz w:val="20"/>
                <w:szCs w:val="20"/>
              </w:rPr>
              <mc:AlternateContent>
                <mc:Choice Requires="wps">
                  <w:drawing>
                    <wp:anchor distT="0" distB="0" distL="114300" distR="114300" simplePos="0" relativeHeight="251661312" behindDoc="0" locked="0" layoutInCell="1" allowOverlap="1" wp14:anchorId="18204522" wp14:editId="2908E898">
                      <wp:simplePos x="0" y="0"/>
                      <wp:positionH relativeFrom="column">
                        <wp:posOffset>1602380</wp:posOffset>
                      </wp:positionH>
                      <wp:positionV relativeFrom="paragraph">
                        <wp:posOffset>129948</wp:posOffset>
                      </wp:positionV>
                      <wp:extent cx="736979"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7369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10758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6.15pt,10.25pt" to="184.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" strokecolor="black [3213]" strokeweight=".5pt">
                      <v:stroke joinstyle="miter"/>
                    </v:line>
                  </w:pict>
                </mc:Fallback>
              </mc:AlternateContent>
            </w:r>
            <w:r w:rsidRPr="005E6206">
              <w:rPr>
                <w:rFonts w:ascii="Arial" w:hAnsi="Arial" w:cs="Arial"/>
                <w:sz w:val="20"/>
                <w:szCs w:val="20"/>
              </w:rPr>
              <w:t xml:space="preserve">IRB Approved, date </w:t>
            </w:r>
          </w:p>
        </w:tc>
        <w:tc>
          <w:tcPr>
            <w:tcW w:w="270" w:type="dxa"/>
            <w:tcBorders>
              <w:top w:val="single" w:sz="4" w:space="0" w:color="auto"/>
            </w:tcBorders>
            <w:shd w:val="clear" w:color="auto" w:fill="E2EFD9" w:themeFill="accent6" w:themeFillTint="33"/>
          </w:tcPr>
          <w:p w14:paraId="0FD56DA8" w14:textId="77777777" w:rsidR="00386F66" w:rsidRPr="005E6206" w:rsidRDefault="00386F66" w:rsidP="005B1653">
            <w:pPr>
              <w:contextualSpacing/>
              <w:rPr>
                <w:rFonts w:ascii="Arial" w:hAnsi="Arial" w:cs="Arial"/>
              </w:rPr>
            </w:pPr>
          </w:p>
        </w:tc>
      </w:tr>
      <w:tr w:rsidR="00386F66" w:rsidRPr="005E6206" w14:paraId="20ED1379" w14:textId="77777777" w:rsidTr="005B1653">
        <w:sdt>
          <w:sdtPr>
            <w:rPr>
              <w:rFonts w:ascii="Arial" w:hAnsi="Arial" w:cs="Arial"/>
            </w:rPr>
            <w:id w:val="1910192045"/>
            <w14:checkbox>
              <w14:checked w14:val="0"/>
              <w14:checkedState w14:val="2612" w14:font="MS Gothic"/>
              <w14:uncheckedState w14:val="2610" w14:font="MS Gothic"/>
            </w14:checkbox>
          </w:sdtPr>
          <w:sdtEndPr/>
          <w:sdtContent>
            <w:tc>
              <w:tcPr>
                <w:tcW w:w="430" w:type="dxa"/>
                <w:tcBorders>
                  <w:top w:val="single" w:sz="4" w:space="0" w:color="auto"/>
                  <w:bottom w:val="single" w:sz="4" w:space="0" w:color="auto"/>
                </w:tcBorders>
              </w:tcPr>
              <w:p w14:paraId="68DB1128" w14:textId="77777777" w:rsidR="00386F66" w:rsidRPr="005E6206" w:rsidRDefault="00386F66" w:rsidP="005B1653">
                <w:pPr>
                  <w:rPr>
                    <w:rFonts w:ascii="Arial" w:hAnsi="Arial" w:cs="Arial"/>
                  </w:rPr>
                </w:pPr>
                <w:r w:rsidRPr="005E6206">
                  <w:rPr>
                    <w:rFonts w:ascii="Segoe UI Symbol" w:eastAsia="MS Gothic" w:hAnsi="Segoe UI Symbol" w:cs="Segoe UI Symbol"/>
                  </w:rPr>
                  <w:t>☐</w:t>
                </w:r>
              </w:p>
            </w:tc>
          </w:sdtContent>
        </w:sdt>
        <w:tc>
          <w:tcPr>
            <w:tcW w:w="2985" w:type="dxa"/>
            <w:tcBorders>
              <w:top w:val="single" w:sz="4" w:space="0" w:color="auto"/>
              <w:bottom w:val="single" w:sz="4" w:space="0" w:color="auto"/>
            </w:tcBorders>
          </w:tcPr>
          <w:p w14:paraId="372E1ED9" w14:textId="77777777" w:rsidR="00386F66" w:rsidRPr="005E6206" w:rsidRDefault="00386F66" w:rsidP="005B1653">
            <w:pPr>
              <w:contextualSpacing/>
              <w:rPr>
                <w:rFonts w:ascii="Arial" w:hAnsi="Arial" w:cs="Arial"/>
                <w:b/>
                <w:sz w:val="20"/>
                <w:szCs w:val="20"/>
              </w:rPr>
            </w:pPr>
            <w:r w:rsidRPr="005E6206">
              <w:rPr>
                <w:rFonts w:ascii="Arial" w:hAnsi="Arial" w:cs="Arial"/>
                <w:b/>
                <w:sz w:val="20"/>
                <w:szCs w:val="20"/>
              </w:rPr>
              <w:t>Human Subjects Education</w:t>
            </w:r>
          </w:p>
        </w:tc>
        <w:tc>
          <w:tcPr>
            <w:tcW w:w="7110" w:type="dxa"/>
            <w:tcBorders>
              <w:top w:val="single" w:sz="4" w:space="0" w:color="auto"/>
              <w:bottom w:val="single" w:sz="4" w:space="0" w:color="auto"/>
            </w:tcBorders>
          </w:tcPr>
          <w:p w14:paraId="7F623336" w14:textId="77777777" w:rsidR="00386F66" w:rsidRPr="005E6206" w:rsidRDefault="00386F66" w:rsidP="005B1653">
            <w:pPr>
              <w:contextualSpacing/>
              <w:rPr>
                <w:rFonts w:ascii="Arial" w:hAnsi="Arial" w:cs="Arial"/>
                <w:sz w:val="20"/>
                <w:szCs w:val="20"/>
              </w:rPr>
            </w:pPr>
            <w:r w:rsidRPr="005E6206">
              <w:rPr>
                <w:rFonts w:ascii="Arial" w:hAnsi="Arial" w:cs="Arial"/>
                <w:sz w:val="20"/>
                <w:szCs w:val="20"/>
              </w:rPr>
              <w:t>If applicable</w:t>
            </w:r>
            <w:r w:rsidR="00504901" w:rsidRPr="005E6206">
              <w:rPr>
                <w:rFonts w:ascii="Arial" w:hAnsi="Arial" w:cs="Arial"/>
                <w:sz w:val="20"/>
                <w:szCs w:val="20"/>
              </w:rPr>
              <w:t>. A copy of certificates must be uploaded in the “Human Subject Education” section.</w:t>
            </w:r>
          </w:p>
        </w:tc>
        <w:tc>
          <w:tcPr>
            <w:tcW w:w="270" w:type="dxa"/>
            <w:tcBorders>
              <w:top w:val="single" w:sz="4" w:space="0" w:color="auto"/>
              <w:bottom w:val="single" w:sz="4" w:space="0" w:color="auto"/>
            </w:tcBorders>
            <w:shd w:val="clear" w:color="auto" w:fill="E2EFD9" w:themeFill="accent6" w:themeFillTint="33"/>
          </w:tcPr>
          <w:p w14:paraId="75538A49" w14:textId="77777777" w:rsidR="00386F66" w:rsidRPr="005E6206" w:rsidRDefault="00386F66" w:rsidP="005B1653">
            <w:pPr>
              <w:contextualSpacing/>
              <w:rPr>
                <w:rFonts w:ascii="Arial" w:hAnsi="Arial" w:cs="Arial"/>
              </w:rPr>
            </w:pPr>
          </w:p>
        </w:tc>
      </w:tr>
      <w:tr w:rsidR="00504901" w:rsidRPr="005E6206" w14:paraId="3F82F0C3" w14:textId="77777777" w:rsidTr="005B1653">
        <w:tc>
          <w:tcPr>
            <w:tcW w:w="430" w:type="dxa"/>
            <w:tcBorders>
              <w:top w:val="single" w:sz="4" w:space="0" w:color="auto"/>
            </w:tcBorders>
          </w:tcPr>
          <w:p w14:paraId="4210D3A9" w14:textId="77777777" w:rsidR="00504901" w:rsidRPr="005E6206" w:rsidRDefault="00504901" w:rsidP="005B1653">
            <w:pPr>
              <w:rPr>
                <w:rFonts w:ascii="Arial" w:hAnsi="Arial" w:cs="Arial"/>
              </w:rPr>
            </w:pPr>
          </w:p>
        </w:tc>
        <w:tc>
          <w:tcPr>
            <w:tcW w:w="10095" w:type="dxa"/>
            <w:gridSpan w:val="2"/>
            <w:tcBorders>
              <w:top w:val="single" w:sz="4" w:space="0" w:color="auto"/>
            </w:tcBorders>
          </w:tcPr>
          <w:p w14:paraId="1A94D7E8" w14:textId="77777777" w:rsidR="00504901" w:rsidRPr="005E6206" w:rsidRDefault="00504901" w:rsidP="00504901">
            <w:pPr>
              <w:pStyle w:val="ListParagraph"/>
              <w:numPr>
                <w:ilvl w:val="0"/>
                <w:numId w:val="5"/>
              </w:numPr>
              <w:spacing w:after="0" w:line="240" w:lineRule="auto"/>
              <w:rPr>
                <w:rFonts w:ascii="Arial" w:hAnsi="Arial" w:cs="Arial"/>
                <w:sz w:val="20"/>
                <w:szCs w:val="20"/>
              </w:rPr>
            </w:pPr>
            <w:r w:rsidRPr="005E6206">
              <w:rPr>
                <w:rFonts w:ascii="Arial" w:hAnsi="Arial" w:cs="Arial"/>
                <w:sz w:val="20"/>
                <w:szCs w:val="20"/>
              </w:rPr>
              <w:t xml:space="preserve">Required that certification </w:t>
            </w:r>
            <w:r w:rsidR="00A1780F" w:rsidRPr="005E6206">
              <w:rPr>
                <w:rFonts w:ascii="Arial" w:hAnsi="Arial" w:cs="Arial"/>
                <w:sz w:val="20"/>
                <w:szCs w:val="20"/>
              </w:rPr>
              <w:t>for all</w:t>
            </w:r>
            <w:r w:rsidRPr="005E6206">
              <w:rPr>
                <w:rFonts w:ascii="Arial" w:hAnsi="Arial" w:cs="Arial"/>
                <w:sz w:val="20"/>
                <w:szCs w:val="20"/>
              </w:rPr>
              <w:t xml:space="preserve"> senior/key personnel involved in human subjects research has completed an education program in the protection of human subjects.</w:t>
            </w:r>
          </w:p>
          <w:p w14:paraId="5B2BAD21" w14:textId="77777777" w:rsidR="00504901" w:rsidRPr="005E6206" w:rsidRDefault="00504901" w:rsidP="00504901">
            <w:pPr>
              <w:pStyle w:val="ListParagraph"/>
              <w:numPr>
                <w:ilvl w:val="0"/>
                <w:numId w:val="5"/>
              </w:numPr>
              <w:spacing w:after="0" w:line="240" w:lineRule="auto"/>
              <w:rPr>
                <w:rFonts w:ascii="Arial" w:hAnsi="Arial" w:cs="Arial"/>
                <w:sz w:val="20"/>
                <w:szCs w:val="20"/>
              </w:rPr>
            </w:pPr>
            <w:r w:rsidRPr="005E6206">
              <w:rPr>
                <w:rFonts w:ascii="Arial" w:hAnsi="Arial" w:cs="Arial"/>
                <w:sz w:val="20"/>
                <w:szCs w:val="20"/>
              </w:rPr>
              <w:t>Boston Medical Center (BMC) and Boston University Medical School (BUMC) PIs and RAs can access CITI certification on the BUMC Human Subjects Protection Training</w:t>
            </w:r>
            <w:r w:rsidR="00A1780F" w:rsidRPr="005E6206">
              <w:rPr>
                <w:rFonts w:ascii="Arial" w:hAnsi="Arial" w:cs="Arial"/>
                <w:sz w:val="20"/>
                <w:szCs w:val="20"/>
              </w:rPr>
              <w:t xml:space="preserve"> Certification/Recertification</w:t>
            </w:r>
            <w:r w:rsidRPr="005E6206">
              <w:rPr>
                <w:rFonts w:ascii="Arial" w:hAnsi="Arial" w:cs="Arial"/>
                <w:sz w:val="20"/>
                <w:szCs w:val="20"/>
              </w:rPr>
              <w:t xml:space="preserve"> website </w:t>
            </w:r>
            <w:hyperlink r:id="rId10" w:history="1">
              <w:r w:rsidRPr="005E6206">
                <w:rPr>
                  <w:rStyle w:val="Hyperlink"/>
                  <w:rFonts w:ascii="Arial" w:hAnsi="Arial" w:cs="Arial"/>
                  <w:sz w:val="20"/>
                  <w:szCs w:val="20"/>
                </w:rPr>
                <w:t>http://www.bumc.bu.edu/ocr/certification/</w:t>
              </w:r>
            </w:hyperlink>
            <w:r w:rsidRPr="005E6206">
              <w:rPr>
                <w:rFonts w:ascii="Arial" w:hAnsi="Arial" w:cs="Arial"/>
                <w:sz w:val="20"/>
                <w:szCs w:val="20"/>
              </w:rPr>
              <w:t xml:space="preserve"> </w:t>
            </w:r>
          </w:p>
          <w:p w14:paraId="359DC0A0" w14:textId="77777777" w:rsidR="00A1780F" w:rsidRPr="005E6206" w:rsidRDefault="00A1780F" w:rsidP="00A1780F">
            <w:pPr>
              <w:pStyle w:val="ListParagraph"/>
              <w:numPr>
                <w:ilvl w:val="0"/>
                <w:numId w:val="5"/>
              </w:numPr>
              <w:spacing w:after="0" w:line="240" w:lineRule="auto"/>
              <w:rPr>
                <w:rFonts w:ascii="Arial" w:hAnsi="Arial" w:cs="Arial"/>
                <w:sz w:val="20"/>
                <w:szCs w:val="20"/>
              </w:rPr>
            </w:pPr>
            <w:r w:rsidRPr="005E6206">
              <w:rPr>
                <w:rFonts w:ascii="Arial" w:hAnsi="Arial" w:cs="Arial"/>
                <w:sz w:val="20"/>
                <w:szCs w:val="20"/>
              </w:rPr>
              <w:t xml:space="preserve">Reference the NIH Research Involving Human Subjects website for more information. </w:t>
            </w:r>
            <w:hyperlink r:id="rId11" w:history="1">
              <w:r w:rsidRPr="005E6206">
                <w:rPr>
                  <w:rStyle w:val="Hyperlink"/>
                  <w:rFonts w:ascii="Arial" w:hAnsi="Arial" w:cs="Arial"/>
                  <w:sz w:val="20"/>
                  <w:szCs w:val="20"/>
                </w:rPr>
                <w:t>https://humansubjects.nih.gov/</w:t>
              </w:r>
            </w:hyperlink>
            <w:r w:rsidRPr="005E6206">
              <w:rPr>
                <w:rFonts w:ascii="Arial" w:hAnsi="Arial" w:cs="Arial"/>
                <w:sz w:val="20"/>
                <w:szCs w:val="20"/>
              </w:rPr>
              <w:t xml:space="preserve"> </w:t>
            </w:r>
          </w:p>
        </w:tc>
        <w:tc>
          <w:tcPr>
            <w:tcW w:w="270" w:type="dxa"/>
            <w:tcBorders>
              <w:top w:val="single" w:sz="4" w:space="0" w:color="auto"/>
            </w:tcBorders>
            <w:shd w:val="clear" w:color="auto" w:fill="E2EFD9" w:themeFill="accent6" w:themeFillTint="33"/>
          </w:tcPr>
          <w:p w14:paraId="7FF39AB4" w14:textId="77777777" w:rsidR="00504901" w:rsidRPr="005E6206" w:rsidRDefault="00504901" w:rsidP="005B1653">
            <w:pPr>
              <w:contextualSpacing/>
              <w:rPr>
                <w:rFonts w:ascii="Arial" w:hAnsi="Arial" w:cs="Arial"/>
              </w:rPr>
            </w:pPr>
          </w:p>
        </w:tc>
      </w:tr>
      <w:tr w:rsidR="00A1780F" w:rsidRPr="005E6206" w14:paraId="0B73B945" w14:textId="77777777" w:rsidTr="005B1653">
        <w:sdt>
          <w:sdtPr>
            <w:rPr>
              <w:rFonts w:ascii="Arial" w:hAnsi="Arial" w:cs="Arial"/>
            </w:rPr>
            <w:id w:val="1025452026"/>
            <w14:checkbox>
              <w14:checked w14:val="0"/>
              <w14:checkedState w14:val="2612" w14:font="MS Gothic"/>
              <w14:uncheckedState w14:val="2610" w14:font="MS Gothic"/>
            </w14:checkbox>
          </w:sdtPr>
          <w:sdtEndPr/>
          <w:sdtContent>
            <w:tc>
              <w:tcPr>
                <w:tcW w:w="430" w:type="dxa"/>
                <w:tcBorders>
                  <w:top w:val="single" w:sz="4" w:space="0" w:color="auto"/>
                  <w:bottom w:val="single" w:sz="4" w:space="0" w:color="auto"/>
                </w:tcBorders>
              </w:tcPr>
              <w:p w14:paraId="1D5B4EF8" w14:textId="77777777" w:rsidR="00A1780F" w:rsidRPr="005E6206" w:rsidRDefault="00A1780F" w:rsidP="005B1653">
                <w:pPr>
                  <w:rPr>
                    <w:rFonts w:ascii="Arial" w:hAnsi="Arial" w:cs="Arial"/>
                  </w:rPr>
                </w:pPr>
                <w:r w:rsidRPr="005E6206">
                  <w:rPr>
                    <w:rFonts w:ascii="Segoe UI Symbol" w:eastAsia="MS Gothic" w:hAnsi="Segoe UI Symbol" w:cs="Segoe UI Symbol"/>
                  </w:rPr>
                  <w:t>☐</w:t>
                </w:r>
              </w:p>
            </w:tc>
          </w:sdtContent>
        </w:sdt>
        <w:tc>
          <w:tcPr>
            <w:tcW w:w="2985" w:type="dxa"/>
            <w:tcBorders>
              <w:top w:val="single" w:sz="4" w:space="0" w:color="auto"/>
              <w:bottom w:val="single" w:sz="4" w:space="0" w:color="auto"/>
            </w:tcBorders>
          </w:tcPr>
          <w:p w14:paraId="52F149AC" w14:textId="77777777" w:rsidR="00A1780F" w:rsidRPr="005E6206" w:rsidRDefault="00A1780F" w:rsidP="005B1653">
            <w:pPr>
              <w:contextualSpacing/>
              <w:rPr>
                <w:rFonts w:ascii="Arial" w:hAnsi="Arial" w:cs="Arial"/>
                <w:b/>
                <w:sz w:val="20"/>
                <w:szCs w:val="20"/>
              </w:rPr>
            </w:pPr>
            <w:r w:rsidRPr="005E6206">
              <w:rPr>
                <w:rFonts w:ascii="Arial" w:hAnsi="Arial" w:cs="Arial"/>
                <w:b/>
                <w:sz w:val="20"/>
                <w:szCs w:val="20"/>
              </w:rPr>
              <w:t>Human Embryonic Stem Cells (hESCs)</w:t>
            </w:r>
          </w:p>
        </w:tc>
        <w:tc>
          <w:tcPr>
            <w:tcW w:w="7110" w:type="dxa"/>
            <w:tcBorders>
              <w:top w:val="single" w:sz="4" w:space="0" w:color="auto"/>
              <w:bottom w:val="single" w:sz="4" w:space="0" w:color="auto"/>
            </w:tcBorders>
          </w:tcPr>
          <w:p w14:paraId="0DA43390" w14:textId="77777777" w:rsidR="00A1780F" w:rsidRPr="005E6206" w:rsidRDefault="00A1780F" w:rsidP="00A1780F">
            <w:pPr>
              <w:contextualSpacing/>
              <w:rPr>
                <w:rFonts w:ascii="Arial" w:hAnsi="Arial" w:cs="Arial"/>
                <w:sz w:val="20"/>
                <w:szCs w:val="20"/>
              </w:rPr>
            </w:pPr>
            <w:r w:rsidRPr="005E6206">
              <w:rPr>
                <w:rFonts w:ascii="Arial" w:hAnsi="Arial" w:cs="Arial"/>
                <w:sz w:val="20"/>
                <w:szCs w:val="20"/>
              </w:rPr>
              <w:t xml:space="preserve">If applicable. Identify hESC line from the NIH Human Embryonic Stem Cell Registry if it wasn’t included in the proposed application. </w:t>
            </w:r>
          </w:p>
        </w:tc>
        <w:tc>
          <w:tcPr>
            <w:tcW w:w="270" w:type="dxa"/>
            <w:tcBorders>
              <w:top w:val="single" w:sz="4" w:space="0" w:color="auto"/>
              <w:bottom w:val="single" w:sz="4" w:space="0" w:color="auto"/>
            </w:tcBorders>
            <w:shd w:val="clear" w:color="auto" w:fill="E2EFD9" w:themeFill="accent6" w:themeFillTint="33"/>
          </w:tcPr>
          <w:p w14:paraId="6F5ADA40" w14:textId="77777777" w:rsidR="00A1780F" w:rsidRPr="005E6206" w:rsidRDefault="00A1780F" w:rsidP="005B1653">
            <w:pPr>
              <w:contextualSpacing/>
              <w:rPr>
                <w:rFonts w:ascii="Arial" w:hAnsi="Arial" w:cs="Arial"/>
              </w:rPr>
            </w:pPr>
          </w:p>
        </w:tc>
      </w:tr>
      <w:tr w:rsidR="00A1780F" w:rsidRPr="005E6206" w14:paraId="2D3BDCC1" w14:textId="77777777" w:rsidTr="005B1653">
        <w:sdt>
          <w:sdtPr>
            <w:rPr>
              <w:rFonts w:ascii="Arial" w:hAnsi="Arial" w:cs="Arial"/>
            </w:rPr>
            <w:id w:val="965316161"/>
            <w14:checkbox>
              <w14:checked w14:val="0"/>
              <w14:checkedState w14:val="2612" w14:font="MS Gothic"/>
              <w14:uncheckedState w14:val="2610" w14:font="MS Gothic"/>
            </w14:checkbox>
          </w:sdtPr>
          <w:sdtEndPr/>
          <w:sdtContent>
            <w:tc>
              <w:tcPr>
                <w:tcW w:w="430" w:type="dxa"/>
                <w:tcBorders>
                  <w:top w:val="single" w:sz="4" w:space="0" w:color="auto"/>
                  <w:bottom w:val="single" w:sz="4" w:space="0" w:color="auto"/>
                </w:tcBorders>
              </w:tcPr>
              <w:p w14:paraId="719754D2" w14:textId="77777777" w:rsidR="00A1780F" w:rsidRPr="005E6206" w:rsidRDefault="00A1780F" w:rsidP="005B1653">
                <w:pPr>
                  <w:rPr>
                    <w:rFonts w:ascii="Arial" w:hAnsi="Arial" w:cs="Arial"/>
                  </w:rPr>
                </w:pPr>
                <w:r w:rsidRPr="005E6206">
                  <w:rPr>
                    <w:rFonts w:ascii="Segoe UI Symbol" w:eastAsia="MS Gothic" w:hAnsi="Segoe UI Symbol" w:cs="Segoe UI Symbol"/>
                  </w:rPr>
                  <w:t>☐</w:t>
                </w:r>
              </w:p>
            </w:tc>
          </w:sdtContent>
        </w:sdt>
        <w:tc>
          <w:tcPr>
            <w:tcW w:w="2985" w:type="dxa"/>
            <w:tcBorders>
              <w:top w:val="single" w:sz="4" w:space="0" w:color="auto"/>
              <w:bottom w:val="single" w:sz="4" w:space="0" w:color="auto"/>
            </w:tcBorders>
          </w:tcPr>
          <w:p w14:paraId="559DE470" w14:textId="77777777" w:rsidR="00A1780F" w:rsidRPr="005E6206" w:rsidRDefault="00A1780F" w:rsidP="005B1653">
            <w:pPr>
              <w:contextualSpacing/>
              <w:rPr>
                <w:rFonts w:ascii="Arial" w:hAnsi="Arial" w:cs="Arial"/>
                <w:b/>
                <w:sz w:val="20"/>
                <w:szCs w:val="20"/>
              </w:rPr>
            </w:pPr>
            <w:r w:rsidRPr="005E6206">
              <w:rPr>
                <w:rFonts w:ascii="Arial" w:hAnsi="Arial" w:cs="Arial"/>
                <w:b/>
                <w:sz w:val="20"/>
                <w:szCs w:val="20"/>
              </w:rPr>
              <w:t xml:space="preserve">Genomic Data Sharing </w:t>
            </w:r>
            <w:r w:rsidR="003E0743" w:rsidRPr="005E6206">
              <w:rPr>
                <w:rFonts w:ascii="Arial" w:hAnsi="Arial" w:cs="Arial"/>
                <w:b/>
                <w:sz w:val="20"/>
                <w:szCs w:val="20"/>
              </w:rPr>
              <w:t xml:space="preserve">(GDS) </w:t>
            </w:r>
            <w:r w:rsidRPr="005E6206">
              <w:rPr>
                <w:rFonts w:ascii="Arial" w:hAnsi="Arial" w:cs="Arial"/>
                <w:b/>
                <w:sz w:val="20"/>
                <w:szCs w:val="20"/>
              </w:rPr>
              <w:t>Institutional Certification</w:t>
            </w:r>
          </w:p>
        </w:tc>
        <w:tc>
          <w:tcPr>
            <w:tcW w:w="7110" w:type="dxa"/>
            <w:tcBorders>
              <w:top w:val="single" w:sz="4" w:space="0" w:color="auto"/>
              <w:bottom w:val="single" w:sz="4" w:space="0" w:color="auto"/>
            </w:tcBorders>
          </w:tcPr>
          <w:p w14:paraId="2551891C" w14:textId="77777777" w:rsidR="00A1780F" w:rsidRPr="005E6206" w:rsidRDefault="00007D0A" w:rsidP="00A1780F">
            <w:pPr>
              <w:contextualSpacing/>
              <w:rPr>
                <w:rFonts w:ascii="Arial" w:hAnsi="Arial" w:cs="Arial"/>
                <w:sz w:val="20"/>
                <w:szCs w:val="20"/>
              </w:rPr>
            </w:pPr>
            <w:r w:rsidRPr="005E6206">
              <w:rPr>
                <w:rFonts w:ascii="Arial" w:hAnsi="Arial" w:cs="Arial"/>
                <w:sz w:val="20"/>
                <w:szCs w:val="20"/>
              </w:rPr>
              <w:t>If applicable.</w:t>
            </w:r>
            <w:r w:rsidR="00A1780F" w:rsidRPr="005E6206">
              <w:rPr>
                <w:rFonts w:ascii="Arial" w:hAnsi="Arial" w:cs="Arial"/>
                <w:sz w:val="20"/>
                <w:szCs w:val="20"/>
              </w:rPr>
              <w:t xml:space="preserve"> A copy of the certification form must be completed and uploaded in the “Other Upload” section.   </w:t>
            </w:r>
          </w:p>
        </w:tc>
        <w:tc>
          <w:tcPr>
            <w:tcW w:w="270" w:type="dxa"/>
            <w:tcBorders>
              <w:top w:val="single" w:sz="4" w:space="0" w:color="auto"/>
              <w:bottom w:val="single" w:sz="4" w:space="0" w:color="auto"/>
            </w:tcBorders>
            <w:shd w:val="clear" w:color="auto" w:fill="E2EFD9" w:themeFill="accent6" w:themeFillTint="33"/>
          </w:tcPr>
          <w:p w14:paraId="4405CAA4" w14:textId="77777777" w:rsidR="00A1780F" w:rsidRPr="005E6206" w:rsidRDefault="00A1780F" w:rsidP="005B1653">
            <w:pPr>
              <w:contextualSpacing/>
              <w:rPr>
                <w:rFonts w:ascii="Arial" w:hAnsi="Arial" w:cs="Arial"/>
              </w:rPr>
            </w:pPr>
          </w:p>
        </w:tc>
      </w:tr>
      <w:tr w:rsidR="003E0743" w:rsidRPr="005E6206" w14:paraId="6555519A" w14:textId="77777777" w:rsidTr="00C566E7">
        <w:tc>
          <w:tcPr>
            <w:tcW w:w="430" w:type="dxa"/>
            <w:tcBorders>
              <w:top w:val="single" w:sz="4" w:space="0" w:color="auto"/>
              <w:bottom w:val="single" w:sz="4" w:space="0" w:color="auto"/>
            </w:tcBorders>
          </w:tcPr>
          <w:p w14:paraId="6C90B685" w14:textId="77777777" w:rsidR="003E0743" w:rsidRPr="005E6206" w:rsidRDefault="003E0743" w:rsidP="005B1653">
            <w:pPr>
              <w:rPr>
                <w:rFonts w:ascii="Arial" w:hAnsi="Arial" w:cs="Arial"/>
              </w:rPr>
            </w:pPr>
          </w:p>
        </w:tc>
        <w:tc>
          <w:tcPr>
            <w:tcW w:w="10095" w:type="dxa"/>
            <w:gridSpan w:val="2"/>
            <w:tcBorders>
              <w:top w:val="single" w:sz="4" w:space="0" w:color="auto"/>
              <w:bottom w:val="single" w:sz="4" w:space="0" w:color="auto"/>
            </w:tcBorders>
          </w:tcPr>
          <w:p w14:paraId="06B7076D" w14:textId="77777777" w:rsidR="003E0743" w:rsidRPr="005E6206" w:rsidRDefault="003E0743" w:rsidP="003E0743">
            <w:pPr>
              <w:pStyle w:val="ListParagraph"/>
              <w:numPr>
                <w:ilvl w:val="0"/>
                <w:numId w:val="8"/>
              </w:numPr>
              <w:spacing w:after="0" w:line="240" w:lineRule="auto"/>
              <w:rPr>
                <w:rFonts w:ascii="Arial" w:hAnsi="Arial" w:cs="Arial"/>
                <w:sz w:val="20"/>
                <w:szCs w:val="20"/>
              </w:rPr>
            </w:pPr>
            <w:r w:rsidRPr="005E6206">
              <w:rPr>
                <w:rFonts w:ascii="Arial" w:hAnsi="Arial" w:cs="Arial"/>
                <w:sz w:val="20"/>
                <w:szCs w:val="20"/>
              </w:rPr>
              <w:t xml:space="preserve">Reference the </w:t>
            </w:r>
            <w:hyperlink r:id="rId12" w:history="1">
              <w:r w:rsidRPr="005E6206">
                <w:rPr>
                  <w:rStyle w:val="Hyperlink"/>
                  <w:rFonts w:ascii="Arial" w:hAnsi="Arial" w:cs="Arial"/>
                  <w:sz w:val="20"/>
                  <w:szCs w:val="20"/>
                </w:rPr>
                <w:t>Genomic Data Sharing Website</w:t>
              </w:r>
            </w:hyperlink>
            <w:r w:rsidRPr="005E6206">
              <w:rPr>
                <w:rFonts w:ascii="Arial" w:hAnsi="Arial" w:cs="Arial"/>
                <w:sz w:val="20"/>
                <w:szCs w:val="20"/>
              </w:rPr>
              <w:t xml:space="preserve"> </w:t>
            </w:r>
          </w:p>
        </w:tc>
        <w:tc>
          <w:tcPr>
            <w:tcW w:w="270" w:type="dxa"/>
            <w:tcBorders>
              <w:top w:val="single" w:sz="4" w:space="0" w:color="auto"/>
              <w:bottom w:val="single" w:sz="4" w:space="0" w:color="auto"/>
            </w:tcBorders>
            <w:shd w:val="clear" w:color="auto" w:fill="E2EFD9" w:themeFill="accent6" w:themeFillTint="33"/>
          </w:tcPr>
          <w:p w14:paraId="36A4A4DC" w14:textId="77777777" w:rsidR="003E0743" w:rsidRPr="005E6206" w:rsidRDefault="003E0743" w:rsidP="005B1653">
            <w:pPr>
              <w:contextualSpacing/>
              <w:rPr>
                <w:rFonts w:ascii="Arial" w:hAnsi="Arial" w:cs="Arial"/>
              </w:rPr>
            </w:pPr>
          </w:p>
        </w:tc>
      </w:tr>
    </w:tbl>
    <w:p w14:paraId="6E434C19" w14:textId="77777777" w:rsidR="002343C5" w:rsidRDefault="002343C5" w:rsidP="002343C5">
      <w:pPr>
        <w:spacing w:after="0" w:line="240" w:lineRule="auto"/>
      </w:pPr>
    </w:p>
    <w:tbl>
      <w:tblPr>
        <w:tblStyle w:val="TableGrid"/>
        <w:tblpPr w:leftFromText="180" w:rightFromText="180" w:vertAnchor="text" w:tblpY="1"/>
        <w:tblOverlap w:val="never"/>
        <w:tblW w:w="10795" w:type="dxa"/>
        <w:tblLayout w:type="fixed"/>
        <w:tblCellMar>
          <w:top w:w="43" w:type="dxa"/>
          <w:left w:w="115" w:type="dxa"/>
          <w:bottom w:w="43" w:type="dxa"/>
          <w:right w:w="115" w:type="dxa"/>
        </w:tblCellMar>
        <w:tblLook w:val="04A0" w:firstRow="1" w:lastRow="0" w:firstColumn="1" w:lastColumn="0" w:noHBand="0" w:noVBand="1"/>
      </w:tblPr>
      <w:tblGrid>
        <w:gridCol w:w="430"/>
        <w:gridCol w:w="2985"/>
        <w:gridCol w:w="7110"/>
        <w:gridCol w:w="270"/>
      </w:tblGrid>
      <w:tr w:rsidR="00490A32" w:rsidRPr="005E6206" w14:paraId="7E3C10B2" w14:textId="77777777" w:rsidTr="005B1653">
        <w:sdt>
          <w:sdtPr>
            <w:rPr>
              <w:rFonts w:ascii="Arial" w:hAnsi="Arial" w:cs="Arial"/>
            </w:rPr>
            <w:id w:val="1868023876"/>
            <w14:checkbox>
              <w14:checked w14:val="0"/>
              <w14:checkedState w14:val="2612" w14:font="MS Gothic"/>
              <w14:uncheckedState w14:val="2610" w14:font="MS Gothic"/>
            </w14:checkbox>
          </w:sdtPr>
          <w:sdtEndPr/>
          <w:sdtContent>
            <w:tc>
              <w:tcPr>
                <w:tcW w:w="430" w:type="dxa"/>
                <w:tcBorders>
                  <w:top w:val="single" w:sz="4" w:space="0" w:color="auto"/>
                  <w:bottom w:val="single" w:sz="4" w:space="0" w:color="auto"/>
                </w:tcBorders>
              </w:tcPr>
              <w:p w14:paraId="15287E4E" w14:textId="77777777" w:rsidR="00490A32" w:rsidRPr="005E6206" w:rsidRDefault="00CC1D26" w:rsidP="005B1653">
                <w:pPr>
                  <w:rPr>
                    <w:rFonts w:ascii="Arial" w:hAnsi="Arial" w:cs="Arial"/>
                  </w:rPr>
                </w:pPr>
                <w:r w:rsidRPr="005E6206">
                  <w:rPr>
                    <w:rFonts w:ascii="Segoe UI Symbol" w:eastAsia="MS Gothic" w:hAnsi="Segoe UI Symbol" w:cs="Segoe UI Symbol"/>
                  </w:rPr>
                  <w:t>☐</w:t>
                </w:r>
              </w:p>
            </w:tc>
          </w:sdtContent>
        </w:sdt>
        <w:tc>
          <w:tcPr>
            <w:tcW w:w="2985" w:type="dxa"/>
            <w:tcBorders>
              <w:top w:val="single" w:sz="4" w:space="0" w:color="auto"/>
              <w:bottom w:val="single" w:sz="4" w:space="0" w:color="auto"/>
            </w:tcBorders>
          </w:tcPr>
          <w:p w14:paraId="4D822564" w14:textId="77777777" w:rsidR="00490A32" w:rsidRPr="005E6206" w:rsidRDefault="00490A32" w:rsidP="005B1653">
            <w:pPr>
              <w:contextualSpacing/>
              <w:rPr>
                <w:rFonts w:ascii="Arial" w:hAnsi="Arial" w:cs="Arial"/>
                <w:b/>
                <w:sz w:val="20"/>
                <w:szCs w:val="20"/>
              </w:rPr>
            </w:pPr>
            <w:r w:rsidRPr="005E6206">
              <w:rPr>
                <w:rFonts w:ascii="Arial" w:hAnsi="Arial" w:cs="Arial"/>
                <w:b/>
                <w:sz w:val="20"/>
                <w:szCs w:val="20"/>
              </w:rPr>
              <w:t>Other Information Requested by the Award Agency</w:t>
            </w:r>
          </w:p>
        </w:tc>
        <w:tc>
          <w:tcPr>
            <w:tcW w:w="7110" w:type="dxa"/>
            <w:tcBorders>
              <w:top w:val="single" w:sz="4" w:space="0" w:color="auto"/>
              <w:bottom w:val="single" w:sz="4" w:space="0" w:color="auto"/>
            </w:tcBorders>
          </w:tcPr>
          <w:p w14:paraId="14E149DE" w14:textId="77777777" w:rsidR="00490A32" w:rsidRPr="005E6206" w:rsidRDefault="00490A32" w:rsidP="00490A32">
            <w:pPr>
              <w:contextualSpacing/>
              <w:rPr>
                <w:rFonts w:ascii="Arial" w:hAnsi="Arial" w:cs="Arial"/>
                <w:sz w:val="20"/>
                <w:szCs w:val="20"/>
              </w:rPr>
            </w:pPr>
            <w:r w:rsidRPr="005E6206">
              <w:rPr>
                <w:rFonts w:ascii="Arial" w:hAnsi="Arial" w:cs="Arial"/>
                <w:sz w:val="20"/>
                <w:szCs w:val="20"/>
              </w:rPr>
              <w:t>NIH IC’s may also request additional information on a case-by-case basis (e.g. revised budgets, changes to the human subjects or animal research sections of the application).  These should be uploaded in the “Other Upload” Section.</w:t>
            </w:r>
          </w:p>
        </w:tc>
        <w:tc>
          <w:tcPr>
            <w:tcW w:w="270" w:type="dxa"/>
            <w:tcBorders>
              <w:top w:val="single" w:sz="4" w:space="0" w:color="auto"/>
              <w:bottom w:val="single" w:sz="4" w:space="0" w:color="auto"/>
            </w:tcBorders>
            <w:shd w:val="clear" w:color="auto" w:fill="E2EFD9" w:themeFill="accent6" w:themeFillTint="33"/>
          </w:tcPr>
          <w:p w14:paraId="21DB89A4" w14:textId="77777777" w:rsidR="00490A32" w:rsidRPr="005E6206" w:rsidRDefault="00490A32" w:rsidP="005B1653">
            <w:pPr>
              <w:contextualSpacing/>
              <w:rPr>
                <w:rFonts w:ascii="Arial" w:hAnsi="Arial" w:cs="Arial"/>
              </w:rPr>
            </w:pPr>
          </w:p>
        </w:tc>
      </w:tr>
      <w:tr w:rsidR="00490A32" w:rsidRPr="005E6206" w14:paraId="75DFAA5E" w14:textId="77777777" w:rsidTr="00490A32">
        <w:tc>
          <w:tcPr>
            <w:tcW w:w="430" w:type="dxa"/>
            <w:tcBorders>
              <w:top w:val="single" w:sz="4" w:space="0" w:color="auto"/>
              <w:bottom w:val="single" w:sz="4" w:space="0" w:color="auto"/>
            </w:tcBorders>
            <w:shd w:val="clear" w:color="auto" w:fill="D9D9D9" w:themeFill="background1" w:themeFillShade="D9"/>
          </w:tcPr>
          <w:p w14:paraId="03C81F31" w14:textId="77777777" w:rsidR="00490A32" w:rsidRPr="005E6206" w:rsidRDefault="00490A32" w:rsidP="005B1653">
            <w:pPr>
              <w:rPr>
                <w:rFonts w:ascii="Arial" w:hAnsi="Arial" w:cs="Arial"/>
                <w:sz w:val="20"/>
                <w:szCs w:val="20"/>
              </w:rPr>
            </w:pPr>
          </w:p>
        </w:tc>
        <w:tc>
          <w:tcPr>
            <w:tcW w:w="10095" w:type="dxa"/>
            <w:gridSpan w:val="2"/>
            <w:tcBorders>
              <w:top w:val="single" w:sz="4" w:space="0" w:color="auto"/>
              <w:bottom w:val="single" w:sz="4" w:space="0" w:color="auto"/>
            </w:tcBorders>
            <w:shd w:val="clear" w:color="auto" w:fill="D9D9D9" w:themeFill="background1" w:themeFillShade="D9"/>
          </w:tcPr>
          <w:p w14:paraId="2F615DCA" w14:textId="77777777" w:rsidR="00490A32" w:rsidRPr="005E6206" w:rsidRDefault="00490A32" w:rsidP="00490A32">
            <w:pPr>
              <w:pStyle w:val="ListParagraph"/>
              <w:numPr>
                <w:ilvl w:val="0"/>
                <w:numId w:val="8"/>
              </w:numPr>
              <w:spacing w:after="0" w:line="240" w:lineRule="auto"/>
              <w:rPr>
                <w:rFonts w:ascii="Arial" w:hAnsi="Arial" w:cs="Arial"/>
                <w:sz w:val="20"/>
                <w:szCs w:val="20"/>
                <w:u w:val="single"/>
              </w:rPr>
            </w:pPr>
            <w:r w:rsidRPr="005E6206">
              <w:rPr>
                <w:rFonts w:ascii="Arial" w:hAnsi="Arial" w:cs="Arial"/>
                <w:sz w:val="20"/>
                <w:szCs w:val="20"/>
              </w:rPr>
              <w:t>The items referenced above are usually uploaded via era commons under the “</w:t>
            </w:r>
            <w:r w:rsidRPr="005E6206">
              <w:rPr>
                <w:rFonts w:ascii="Arial" w:hAnsi="Arial" w:cs="Arial"/>
                <w:b/>
                <w:sz w:val="20"/>
                <w:szCs w:val="20"/>
              </w:rPr>
              <w:t>JIT</w:t>
            </w:r>
            <w:r w:rsidRPr="005E6206">
              <w:rPr>
                <w:rFonts w:ascii="Arial" w:hAnsi="Arial" w:cs="Arial"/>
                <w:sz w:val="20"/>
                <w:szCs w:val="20"/>
              </w:rPr>
              <w:t xml:space="preserve">” link by the RA or PI </w:t>
            </w:r>
            <w:hyperlink r:id="rId13" w:history="1">
              <w:r w:rsidRPr="005E6206">
                <w:rPr>
                  <w:rStyle w:val="Hyperlink"/>
                  <w:rFonts w:ascii="Arial" w:hAnsi="Arial" w:cs="Arial"/>
                  <w:sz w:val="20"/>
                  <w:szCs w:val="20"/>
                </w:rPr>
                <w:t>https://commons.era.nih.gov/commons</w:t>
              </w:r>
            </w:hyperlink>
            <w:r w:rsidRPr="005E6206">
              <w:rPr>
                <w:rFonts w:ascii="Arial" w:hAnsi="Arial" w:cs="Arial"/>
                <w:sz w:val="20"/>
                <w:szCs w:val="20"/>
                <w:u w:val="single"/>
              </w:rPr>
              <w:t xml:space="preserve"> </w:t>
            </w:r>
          </w:p>
          <w:p w14:paraId="4557D0B2" w14:textId="77777777" w:rsidR="00490A32" w:rsidRPr="005E6206" w:rsidRDefault="00490A32" w:rsidP="00490A32">
            <w:pPr>
              <w:pStyle w:val="ListParagraph"/>
              <w:numPr>
                <w:ilvl w:val="0"/>
                <w:numId w:val="8"/>
              </w:numPr>
              <w:spacing w:after="0" w:line="240" w:lineRule="auto"/>
              <w:rPr>
                <w:rFonts w:ascii="Arial" w:hAnsi="Arial" w:cs="Arial"/>
                <w:sz w:val="20"/>
                <w:szCs w:val="20"/>
              </w:rPr>
            </w:pPr>
            <w:r w:rsidRPr="005E6206">
              <w:rPr>
                <w:rFonts w:ascii="Arial" w:hAnsi="Arial" w:cs="Arial"/>
                <w:sz w:val="20"/>
                <w:szCs w:val="20"/>
              </w:rPr>
              <w:t>There is an option to view the uploaded items by clicking “</w:t>
            </w:r>
            <w:r w:rsidRPr="005E6206">
              <w:rPr>
                <w:rFonts w:ascii="Arial" w:hAnsi="Arial" w:cs="Arial"/>
                <w:b/>
                <w:sz w:val="20"/>
                <w:szCs w:val="20"/>
              </w:rPr>
              <w:t>VIEW JUST IN TIME REPORT</w:t>
            </w:r>
            <w:r w:rsidRPr="005E6206">
              <w:rPr>
                <w:rFonts w:ascii="Arial" w:hAnsi="Arial" w:cs="Arial"/>
                <w:sz w:val="20"/>
                <w:szCs w:val="20"/>
              </w:rPr>
              <w:t xml:space="preserve">” to ensure that everything looks the way it should.  </w:t>
            </w:r>
            <w:r w:rsidRPr="005E6206">
              <w:rPr>
                <w:rFonts w:ascii="Arial" w:hAnsi="Arial" w:cs="Arial"/>
                <w:b/>
                <w:sz w:val="20"/>
                <w:szCs w:val="20"/>
              </w:rPr>
              <w:t>Only a Signing Official can submit a JIT</w:t>
            </w:r>
            <w:r w:rsidRPr="005E6206">
              <w:rPr>
                <w:rFonts w:ascii="Arial" w:hAnsi="Arial" w:cs="Arial"/>
                <w:sz w:val="20"/>
                <w:szCs w:val="20"/>
              </w:rPr>
              <w:t>.</w:t>
            </w:r>
            <w:r w:rsidRPr="005E6206">
              <w:rPr>
                <w:rFonts w:ascii="Arial" w:hAnsi="Arial" w:cs="Arial"/>
              </w:rPr>
              <w:t xml:space="preserve">  </w:t>
            </w:r>
          </w:p>
          <w:p w14:paraId="54EE0CFC" w14:textId="77777777" w:rsidR="00CC1D26" w:rsidRPr="005E6206" w:rsidRDefault="00CC1D26" w:rsidP="00490A32">
            <w:pPr>
              <w:pStyle w:val="ListParagraph"/>
              <w:numPr>
                <w:ilvl w:val="0"/>
                <w:numId w:val="8"/>
              </w:numPr>
              <w:spacing w:after="0" w:line="240" w:lineRule="auto"/>
              <w:rPr>
                <w:rFonts w:ascii="Arial" w:hAnsi="Arial" w:cs="Arial"/>
                <w:sz w:val="20"/>
                <w:szCs w:val="20"/>
              </w:rPr>
            </w:pPr>
            <w:r w:rsidRPr="005E6206">
              <w:rPr>
                <w:rFonts w:ascii="Arial" w:hAnsi="Arial" w:cs="Arial"/>
                <w:sz w:val="20"/>
                <w:szCs w:val="20"/>
              </w:rPr>
              <w:t>The RA will need to inform the GA by email that the JIT is ready in eRA Commons for review and submission.  If possible the infoed record number should be provided as the submitted application will need to be crossed-checked during review of the JIT.</w:t>
            </w:r>
          </w:p>
          <w:p w14:paraId="4B7514F6" w14:textId="77777777" w:rsidR="00CC1D26" w:rsidRPr="005E6206" w:rsidRDefault="00CC1D26" w:rsidP="00CC1D26">
            <w:pPr>
              <w:rPr>
                <w:rFonts w:ascii="Arial" w:hAnsi="Arial" w:cs="Arial"/>
                <w:b/>
                <w:sz w:val="20"/>
                <w:szCs w:val="20"/>
              </w:rPr>
            </w:pPr>
            <w:r w:rsidRPr="005E6206">
              <w:rPr>
                <w:rFonts w:ascii="Arial" w:hAnsi="Arial" w:cs="Arial"/>
                <w:b/>
                <w:sz w:val="20"/>
                <w:szCs w:val="20"/>
              </w:rPr>
              <w:t>Note: eRA Commons does not send email notifications th</w:t>
            </w:r>
            <w:r w:rsidR="00007D0A" w:rsidRPr="005E6206">
              <w:rPr>
                <w:rFonts w:ascii="Arial" w:hAnsi="Arial" w:cs="Arial"/>
                <w:b/>
                <w:sz w:val="20"/>
                <w:szCs w:val="20"/>
              </w:rPr>
              <w:t>at the JIT is ready for review.</w:t>
            </w:r>
            <w:r w:rsidRPr="005E6206">
              <w:rPr>
                <w:rFonts w:ascii="Arial" w:hAnsi="Arial" w:cs="Arial"/>
                <w:b/>
                <w:sz w:val="20"/>
                <w:szCs w:val="20"/>
              </w:rPr>
              <w:t xml:space="preserve"> It needs to be done manually.</w:t>
            </w:r>
          </w:p>
        </w:tc>
        <w:tc>
          <w:tcPr>
            <w:tcW w:w="270" w:type="dxa"/>
            <w:tcBorders>
              <w:top w:val="single" w:sz="4" w:space="0" w:color="auto"/>
              <w:bottom w:val="single" w:sz="4" w:space="0" w:color="auto"/>
            </w:tcBorders>
            <w:shd w:val="clear" w:color="auto" w:fill="D9D9D9" w:themeFill="background1" w:themeFillShade="D9"/>
          </w:tcPr>
          <w:p w14:paraId="65B1ED0B" w14:textId="77777777" w:rsidR="00490A32" w:rsidRPr="005E6206" w:rsidRDefault="00490A32" w:rsidP="005B1653">
            <w:pPr>
              <w:contextualSpacing/>
              <w:rPr>
                <w:rFonts w:ascii="Arial" w:hAnsi="Arial" w:cs="Arial"/>
                <w:sz w:val="20"/>
                <w:szCs w:val="20"/>
              </w:rPr>
            </w:pPr>
          </w:p>
        </w:tc>
      </w:tr>
    </w:tbl>
    <w:p w14:paraId="2097BD27" w14:textId="4F5A01A3" w:rsidR="00BD195F" w:rsidRPr="005E6206" w:rsidRDefault="00BD195F" w:rsidP="002343C5">
      <w:pPr>
        <w:spacing w:after="0" w:line="240" w:lineRule="auto"/>
        <w:rPr>
          <w:rFonts w:ascii="Arial" w:hAnsi="Arial" w:cs="Arial"/>
        </w:rPr>
      </w:pPr>
    </w:p>
    <w:tbl>
      <w:tblPr>
        <w:tblStyle w:val="TableGrid"/>
        <w:tblpPr w:leftFromText="180" w:rightFromText="180" w:vertAnchor="text" w:tblpY="1"/>
        <w:tblOverlap w:val="never"/>
        <w:tblW w:w="10795" w:type="dxa"/>
        <w:tblLayout w:type="fixed"/>
        <w:tblCellMar>
          <w:top w:w="43" w:type="dxa"/>
          <w:left w:w="115" w:type="dxa"/>
          <w:bottom w:w="43" w:type="dxa"/>
          <w:right w:w="115" w:type="dxa"/>
        </w:tblCellMar>
        <w:tblLook w:val="04A0" w:firstRow="1" w:lastRow="0" w:firstColumn="1" w:lastColumn="0" w:noHBand="0" w:noVBand="1"/>
      </w:tblPr>
      <w:tblGrid>
        <w:gridCol w:w="430"/>
        <w:gridCol w:w="10095"/>
        <w:gridCol w:w="270"/>
      </w:tblGrid>
      <w:tr w:rsidR="00CC1D26" w:rsidRPr="005E6206" w14:paraId="04D6A719" w14:textId="77777777" w:rsidTr="00CC1D26">
        <w:tc>
          <w:tcPr>
            <w:tcW w:w="430" w:type="dxa"/>
            <w:tcBorders>
              <w:top w:val="single" w:sz="4" w:space="0" w:color="auto"/>
              <w:bottom w:val="single" w:sz="4" w:space="0" w:color="auto"/>
            </w:tcBorders>
            <w:shd w:val="clear" w:color="auto" w:fill="auto"/>
          </w:tcPr>
          <w:p w14:paraId="7840554F" w14:textId="77777777" w:rsidR="00CC1D26" w:rsidRPr="005E6206" w:rsidRDefault="00CC1D26" w:rsidP="005B1653">
            <w:pPr>
              <w:rPr>
                <w:rFonts w:ascii="Arial" w:hAnsi="Arial" w:cs="Arial"/>
                <w:sz w:val="20"/>
                <w:szCs w:val="20"/>
              </w:rPr>
            </w:pPr>
          </w:p>
        </w:tc>
        <w:tc>
          <w:tcPr>
            <w:tcW w:w="10095" w:type="dxa"/>
            <w:tcBorders>
              <w:top w:val="single" w:sz="4" w:space="0" w:color="auto"/>
              <w:bottom w:val="single" w:sz="4" w:space="0" w:color="auto"/>
            </w:tcBorders>
            <w:shd w:val="clear" w:color="auto" w:fill="auto"/>
          </w:tcPr>
          <w:p w14:paraId="5715B73A" w14:textId="77777777" w:rsidR="00CC1D26" w:rsidRPr="005E6206" w:rsidRDefault="00CC1D26" w:rsidP="00CC1D26">
            <w:pPr>
              <w:spacing w:after="160" w:line="259" w:lineRule="auto"/>
              <w:rPr>
                <w:rFonts w:ascii="Arial" w:hAnsi="Arial" w:cs="Arial"/>
                <w:b/>
                <w:sz w:val="28"/>
                <w:szCs w:val="28"/>
              </w:rPr>
            </w:pPr>
            <w:r w:rsidRPr="005E6206">
              <w:rPr>
                <w:rFonts w:ascii="Arial" w:hAnsi="Arial" w:cs="Arial"/>
                <w:b/>
                <w:sz w:val="28"/>
                <w:szCs w:val="28"/>
              </w:rPr>
              <w:t>Check Documents Prior to Initial Review by Grants and Contracts</w:t>
            </w:r>
          </w:p>
          <w:p w14:paraId="77230BE7" w14:textId="77777777" w:rsidR="00CC1D26" w:rsidRPr="005E6206" w:rsidRDefault="00CC1D26" w:rsidP="00CC1D26">
            <w:pPr>
              <w:pStyle w:val="ListParagraph"/>
              <w:numPr>
                <w:ilvl w:val="0"/>
                <w:numId w:val="10"/>
              </w:numPr>
              <w:spacing w:after="0" w:line="240" w:lineRule="auto"/>
              <w:rPr>
                <w:rFonts w:ascii="Arial" w:hAnsi="Arial" w:cs="Arial"/>
                <w:sz w:val="20"/>
                <w:szCs w:val="20"/>
              </w:rPr>
            </w:pPr>
            <w:r w:rsidRPr="005E6206">
              <w:rPr>
                <w:rFonts w:ascii="Arial" w:hAnsi="Arial" w:cs="Arial"/>
                <w:sz w:val="20"/>
                <w:szCs w:val="20"/>
              </w:rPr>
              <w:t xml:space="preserve">Other Support Pages for all key personnel is missing.  </w:t>
            </w:r>
          </w:p>
          <w:p w14:paraId="168C82F9" w14:textId="77777777" w:rsidR="00CC1D26" w:rsidRPr="005E6206" w:rsidRDefault="00CC1D26" w:rsidP="00CC1D26">
            <w:pPr>
              <w:pStyle w:val="ListParagraph"/>
              <w:numPr>
                <w:ilvl w:val="0"/>
                <w:numId w:val="10"/>
              </w:numPr>
              <w:spacing w:after="0" w:line="240" w:lineRule="auto"/>
              <w:rPr>
                <w:rFonts w:ascii="Arial" w:hAnsi="Arial" w:cs="Arial"/>
                <w:sz w:val="20"/>
                <w:szCs w:val="20"/>
              </w:rPr>
            </w:pPr>
            <w:r w:rsidRPr="005E6206">
              <w:rPr>
                <w:rFonts w:ascii="Arial" w:hAnsi="Arial" w:cs="Arial"/>
                <w:sz w:val="20"/>
                <w:szCs w:val="20"/>
              </w:rPr>
              <w:t xml:space="preserve">Active support goes over 12CM should the proposed grant be funded.  </w:t>
            </w:r>
          </w:p>
          <w:p w14:paraId="27894D38" w14:textId="77777777" w:rsidR="00CC1D26" w:rsidRPr="005E6206" w:rsidRDefault="00CC1D26" w:rsidP="00CC1D26">
            <w:pPr>
              <w:pStyle w:val="ListParagraph"/>
              <w:numPr>
                <w:ilvl w:val="0"/>
                <w:numId w:val="10"/>
              </w:numPr>
              <w:spacing w:after="0" w:line="240" w:lineRule="auto"/>
              <w:rPr>
                <w:rFonts w:ascii="Arial" w:hAnsi="Arial" w:cs="Arial"/>
                <w:sz w:val="20"/>
                <w:szCs w:val="20"/>
              </w:rPr>
            </w:pPr>
            <w:r w:rsidRPr="005E6206">
              <w:rPr>
                <w:rFonts w:ascii="Arial" w:hAnsi="Arial" w:cs="Arial"/>
                <w:sz w:val="20"/>
                <w:szCs w:val="20"/>
              </w:rPr>
              <w:t xml:space="preserve">Overlap statement missing and does not address how effort will be adjusted.  </w:t>
            </w:r>
          </w:p>
          <w:p w14:paraId="5964311D" w14:textId="77777777" w:rsidR="00CC1D26" w:rsidRPr="005E6206" w:rsidRDefault="00CC1D26" w:rsidP="00CC1D26">
            <w:pPr>
              <w:pStyle w:val="ListParagraph"/>
              <w:numPr>
                <w:ilvl w:val="0"/>
                <w:numId w:val="10"/>
              </w:numPr>
              <w:spacing w:after="0" w:line="240" w:lineRule="auto"/>
              <w:rPr>
                <w:rFonts w:ascii="Arial" w:hAnsi="Arial" w:cs="Arial"/>
                <w:sz w:val="20"/>
                <w:szCs w:val="20"/>
              </w:rPr>
            </w:pPr>
            <w:r w:rsidRPr="005E6206">
              <w:rPr>
                <w:rFonts w:ascii="Arial" w:hAnsi="Arial" w:cs="Arial"/>
                <w:sz w:val="20"/>
                <w:szCs w:val="20"/>
              </w:rPr>
              <w:t xml:space="preserve">Biosketch uploaded instead of the Other Support page.   </w:t>
            </w:r>
          </w:p>
          <w:p w14:paraId="73BD0238" w14:textId="77777777" w:rsidR="00CC1D26" w:rsidRPr="005E6206" w:rsidRDefault="00CC1D26" w:rsidP="00CC1D26">
            <w:pPr>
              <w:rPr>
                <w:rFonts w:ascii="Arial" w:hAnsi="Arial" w:cs="Arial"/>
                <w:sz w:val="20"/>
                <w:szCs w:val="20"/>
              </w:rPr>
            </w:pPr>
          </w:p>
        </w:tc>
        <w:tc>
          <w:tcPr>
            <w:tcW w:w="270" w:type="dxa"/>
            <w:tcBorders>
              <w:top w:val="single" w:sz="4" w:space="0" w:color="auto"/>
              <w:bottom w:val="single" w:sz="4" w:space="0" w:color="auto"/>
            </w:tcBorders>
            <w:shd w:val="clear" w:color="auto" w:fill="auto"/>
          </w:tcPr>
          <w:p w14:paraId="350B12A2" w14:textId="77777777" w:rsidR="00CC1D26" w:rsidRPr="005E6206" w:rsidRDefault="00CC1D26" w:rsidP="005B1653">
            <w:pPr>
              <w:contextualSpacing/>
              <w:rPr>
                <w:rFonts w:ascii="Arial" w:hAnsi="Arial" w:cs="Arial"/>
                <w:sz w:val="20"/>
                <w:szCs w:val="20"/>
              </w:rPr>
            </w:pPr>
          </w:p>
        </w:tc>
      </w:tr>
    </w:tbl>
    <w:p w14:paraId="0023D7E8" w14:textId="7E974254" w:rsidR="002343C5" w:rsidRDefault="002343C5" w:rsidP="002343C5">
      <w:pPr>
        <w:spacing w:after="0" w:line="240" w:lineRule="auto"/>
        <w:rPr>
          <w:rFonts w:ascii="Arial" w:hAnsi="Arial" w:cs="Arial"/>
        </w:rPr>
      </w:pPr>
    </w:p>
    <w:p w14:paraId="404D77A3" w14:textId="77777777" w:rsidR="0071208A" w:rsidRDefault="0071208A" w:rsidP="002343C5">
      <w:pPr>
        <w:spacing w:after="0" w:line="240" w:lineRule="auto"/>
        <w:rPr>
          <w:rFonts w:ascii="Arial" w:hAnsi="Arial" w:cs="Arial"/>
        </w:rPr>
      </w:pPr>
    </w:p>
    <w:p w14:paraId="36BCA874" w14:textId="77777777" w:rsidR="00C85402" w:rsidRDefault="002343C5" w:rsidP="002343C5">
      <w:pPr>
        <w:spacing w:after="0" w:line="240" w:lineRule="auto"/>
        <w:rPr>
          <w:rFonts w:ascii="Arial" w:hAnsi="Arial" w:cs="Arial"/>
        </w:rPr>
      </w:pPr>
      <w:r>
        <w:rPr>
          <w:rFonts w:ascii="Arial" w:hAnsi="Arial" w:cs="Arial"/>
        </w:rPr>
        <w:br w:type="column"/>
      </w:r>
    </w:p>
    <w:p w14:paraId="647D9F4B" w14:textId="77777777" w:rsidR="0071208A" w:rsidRPr="002343C5" w:rsidRDefault="0071208A" w:rsidP="002343C5">
      <w:pPr>
        <w:spacing w:after="0" w:line="240" w:lineRule="auto"/>
        <w:rPr>
          <w:rFonts w:ascii="Arial" w:hAnsi="Arial" w:cs="Arial"/>
          <w:sz w:val="4"/>
          <w:szCs w:val="4"/>
        </w:rPr>
      </w:pPr>
    </w:p>
    <w:tbl>
      <w:tblPr>
        <w:tblStyle w:val="TableGrid"/>
        <w:tblpPr w:leftFromText="180" w:rightFromText="180" w:vertAnchor="text" w:tblpY="1"/>
        <w:tblOverlap w:val="never"/>
        <w:tblW w:w="10795" w:type="dxa"/>
        <w:tblLayout w:type="fixed"/>
        <w:tblCellMar>
          <w:top w:w="43" w:type="dxa"/>
          <w:left w:w="115" w:type="dxa"/>
          <w:bottom w:w="43" w:type="dxa"/>
          <w:right w:w="115" w:type="dxa"/>
        </w:tblCellMar>
        <w:tblLook w:val="04A0" w:firstRow="1" w:lastRow="0" w:firstColumn="1" w:lastColumn="0" w:noHBand="0" w:noVBand="1"/>
      </w:tblPr>
      <w:tblGrid>
        <w:gridCol w:w="430"/>
        <w:gridCol w:w="2985"/>
        <w:gridCol w:w="7110"/>
        <w:gridCol w:w="270"/>
      </w:tblGrid>
      <w:tr w:rsidR="00CC1D26" w:rsidRPr="005E6206" w14:paraId="7ABA7E7D" w14:textId="77777777" w:rsidTr="005B1653">
        <w:tc>
          <w:tcPr>
            <w:tcW w:w="4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406418" w14:textId="77777777" w:rsidR="00CC1D26" w:rsidRPr="005E6206" w:rsidRDefault="00CC1D26" w:rsidP="005B1653">
            <w:pPr>
              <w:rPr>
                <w:rFonts w:ascii="Arial" w:hAnsi="Arial" w:cs="Arial"/>
                <w:sz w:val="20"/>
                <w:szCs w:val="20"/>
              </w:rPr>
            </w:pPr>
          </w:p>
        </w:tc>
        <w:tc>
          <w:tcPr>
            <w:tcW w:w="1036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14CCF54" w14:textId="77777777" w:rsidR="00CC1D26" w:rsidRPr="005E6206" w:rsidRDefault="00CC1D26" w:rsidP="005B1653">
            <w:pPr>
              <w:contextualSpacing/>
              <w:rPr>
                <w:rFonts w:ascii="Arial" w:hAnsi="Arial" w:cs="Arial"/>
                <w:b/>
                <w:sz w:val="28"/>
                <w:szCs w:val="28"/>
              </w:rPr>
            </w:pPr>
            <w:r w:rsidRPr="005E6206">
              <w:rPr>
                <w:rFonts w:ascii="Arial" w:hAnsi="Arial" w:cs="Arial"/>
                <w:b/>
                <w:sz w:val="28"/>
                <w:szCs w:val="28"/>
              </w:rPr>
              <w:t>Research Operation Internal Review Process</w:t>
            </w:r>
          </w:p>
        </w:tc>
      </w:tr>
      <w:tr w:rsidR="00CC1D26" w:rsidRPr="005E6206" w14:paraId="0655AD83" w14:textId="77777777" w:rsidTr="005B1653">
        <w:sdt>
          <w:sdtPr>
            <w:rPr>
              <w:rFonts w:ascii="Arial" w:hAnsi="Arial" w:cs="Arial"/>
            </w:rPr>
            <w:id w:val="1174226466"/>
            <w14:checkbox>
              <w14:checked w14:val="0"/>
              <w14:checkedState w14:val="2612" w14:font="MS Gothic"/>
              <w14:uncheckedState w14:val="2610" w14:font="MS Gothic"/>
            </w14:checkbox>
          </w:sdtPr>
          <w:sdtEndPr/>
          <w:sdtContent>
            <w:tc>
              <w:tcPr>
                <w:tcW w:w="430" w:type="dxa"/>
                <w:tcBorders>
                  <w:top w:val="single" w:sz="4" w:space="0" w:color="auto"/>
                  <w:bottom w:val="single" w:sz="4" w:space="0" w:color="auto"/>
                </w:tcBorders>
              </w:tcPr>
              <w:p w14:paraId="5F936B5C" w14:textId="77777777" w:rsidR="00CC1D26" w:rsidRPr="005E6206" w:rsidRDefault="00CC1D26" w:rsidP="00CC1D26">
                <w:pPr>
                  <w:rPr>
                    <w:rFonts w:ascii="Arial" w:hAnsi="Arial" w:cs="Arial"/>
                  </w:rPr>
                </w:pPr>
                <w:r w:rsidRPr="005E6206">
                  <w:rPr>
                    <w:rFonts w:ascii="Segoe UI Symbol" w:eastAsia="MS Gothic" w:hAnsi="Segoe UI Symbol" w:cs="Segoe UI Symbol"/>
                  </w:rPr>
                  <w:t>☐</w:t>
                </w:r>
              </w:p>
            </w:tc>
          </w:sdtContent>
        </w:sdt>
        <w:tc>
          <w:tcPr>
            <w:tcW w:w="2985" w:type="dxa"/>
            <w:tcBorders>
              <w:top w:val="single" w:sz="4" w:space="0" w:color="auto"/>
              <w:bottom w:val="single" w:sz="4" w:space="0" w:color="auto"/>
            </w:tcBorders>
          </w:tcPr>
          <w:p w14:paraId="358A87A8" w14:textId="77777777" w:rsidR="00CC1D26" w:rsidRPr="005E6206" w:rsidRDefault="00CC1D26" w:rsidP="00CC1D26">
            <w:pPr>
              <w:contextualSpacing/>
              <w:rPr>
                <w:rFonts w:ascii="Arial" w:hAnsi="Arial" w:cs="Arial"/>
                <w:b/>
                <w:sz w:val="20"/>
                <w:szCs w:val="20"/>
              </w:rPr>
            </w:pPr>
            <w:r w:rsidRPr="005E6206">
              <w:rPr>
                <w:rFonts w:ascii="Arial" w:hAnsi="Arial" w:cs="Arial"/>
                <w:sz w:val="20"/>
                <w:szCs w:val="20"/>
              </w:rPr>
              <w:t xml:space="preserve">Grey Folder </w:t>
            </w:r>
          </w:p>
        </w:tc>
        <w:tc>
          <w:tcPr>
            <w:tcW w:w="7110" w:type="dxa"/>
            <w:tcBorders>
              <w:top w:val="single" w:sz="4" w:space="0" w:color="auto"/>
              <w:bottom w:val="single" w:sz="4" w:space="0" w:color="auto"/>
            </w:tcBorders>
          </w:tcPr>
          <w:p w14:paraId="1E830CB4" w14:textId="77777777" w:rsidR="00CC1D26" w:rsidRPr="005E6206" w:rsidRDefault="00CC1D26" w:rsidP="00CC1D26">
            <w:pPr>
              <w:contextualSpacing/>
              <w:rPr>
                <w:rFonts w:ascii="Arial" w:hAnsi="Arial" w:cs="Arial"/>
                <w:sz w:val="20"/>
                <w:szCs w:val="20"/>
              </w:rPr>
            </w:pPr>
            <w:r w:rsidRPr="005E6206">
              <w:rPr>
                <w:rFonts w:ascii="Arial" w:hAnsi="Arial" w:cs="Arial"/>
                <w:sz w:val="20"/>
                <w:szCs w:val="20"/>
              </w:rPr>
              <w:t>Can be accessed in the Pre-Award Cabinet</w:t>
            </w:r>
          </w:p>
        </w:tc>
        <w:tc>
          <w:tcPr>
            <w:tcW w:w="270" w:type="dxa"/>
            <w:tcBorders>
              <w:top w:val="single" w:sz="4" w:space="0" w:color="auto"/>
              <w:bottom w:val="single" w:sz="4" w:space="0" w:color="auto"/>
            </w:tcBorders>
            <w:shd w:val="clear" w:color="auto" w:fill="E2EFD9" w:themeFill="accent6" w:themeFillTint="33"/>
          </w:tcPr>
          <w:p w14:paraId="248B129C" w14:textId="77777777" w:rsidR="00CC1D26" w:rsidRPr="005E6206" w:rsidRDefault="00CC1D26" w:rsidP="00CC1D26">
            <w:pPr>
              <w:contextualSpacing/>
              <w:rPr>
                <w:rFonts w:ascii="Arial" w:hAnsi="Arial" w:cs="Arial"/>
                <w:sz w:val="20"/>
                <w:szCs w:val="20"/>
              </w:rPr>
            </w:pPr>
          </w:p>
        </w:tc>
      </w:tr>
      <w:tr w:rsidR="00CC1D26" w:rsidRPr="005E6206" w14:paraId="387ADA01" w14:textId="77777777" w:rsidTr="005B1653">
        <w:sdt>
          <w:sdtPr>
            <w:rPr>
              <w:rFonts w:ascii="Arial" w:hAnsi="Arial" w:cs="Arial"/>
            </w:rPr>
            <w:id w:val="-1060322613"/>
            <w14:checkbox>
              <w14:checked w14:val="0"/>
              <w14:checkedState w14:val="2612" w14:font="MS Gothic"/>
              <w14:uncheckedState w14:val="2610" w14:font="MS Gothic"/>
            </w14:checkbox>
          </w:sdtPr>
          <w:sdtEndPr/>
          <w:sdtContent>
            <w:tc>
              <w:tcPr>
                <w:tcW w:w="430" w:type="dxa"/>
                <w:tcBorders>
                  <w:top w:val="single" w:sz="4" w:space="0" w:color="auto"/>
                  <w:bottom w:val="single" w:sz="4" w:space="0" w:color="auto"/>
                </w:tcBorders>
              </w:tcPr>
              <w:p w14:paraId="1FEE2EF8" w14:textId="77777777" w:rsidR="00CC1D26" w:rsidRPr="005E6206" w:rsidRDefault="00CC1D26" w:rsidP="00CC1D26">
                <w:pPr>
                  <w:rPr>
                    <w:rFonts w:ascii="Arial" w:hAnsi="Arial" w:cs="Arial"/>
                  </w:rPr>
                </w:pPr>
                <w:r w:rsidRPr="005E6206">
                  <w:rPr>
                    <w:rFonts w:ascii="Segoe UI Symbol" w:eastAsia="MS Gothic" w:hAnsi="Segoe UI Symbol" w:cs="Segoe UI Symbol"/>
                  </w:rPr>
                  <w:t>☐</w:t>
                </w:r>
              </w:p>
            </w:tc>
          </w:sdtContent>
        </w:sdt>
        <w:tc>
          <w:tcPr>
            <w:tcW w:w="2985" w:type="dxa"/>
            <w:tcBorders>
              <w:top w:val="single" w:sz="4" w:space="0" w:color="auto"/>
              <w:bottom w:val="single" w:sz="4" w:space="0" w:color="auto"/>
            </w:tcBorders>
          </w:tcPr>
          <w:p w14:paraId="0F8C924D" w14:textId="77777777" w:rsidR="00CC1D26" w:rsidRPr="005E6206" w:rsidRDefault="00CC1D26" w:rsidP="00CC1D26">
            <w:pPr>
              <w:contextualSpacing/>
              <w:rPr>
                <w:rFonts w:ascii="Arial" w:hAnsi="Arial" w:cs="Arial"/>
                <w:sz w:val="20"/>
                <w:szCs w:val="20"/>
              </w:rPr>
            </w:pPr>
            <w:r w:rsidRPr="005E6206">
              <w:rPr>
                <w:rFonts w:ascii="Arial" w:hAnsi="Arial" w:cs="Arial"/>
                <w:sz w:val="20"/>
                <w:szCs w:val="20"/>
              </w:rPr>
              <w:t>eRA Commons</w:t>
            </w:r>
          </w:p>
        </w:tc>
        <w:tc>
          <w:tcPr>
            <w:tcW w:w="7110" w:type="dxa"/>
            <w:tcBorders>
              <w:top w:val="single" w:sz="4" w:space="0" w:color="auto"/>
              <w:bottom w:val="single" w:sz="4" w:space="0" w:color="auto"/>
            </w:tcBorders>
          </w:tcPr>
          <w:p w14:paraId="1ED53BE9" w14:textId="77777777" w:rsidR="00CC1D26" w:rsidRPr="005E6206" w:rsidRDefault="00CC1D26" w:rsidP="00CC1D26">
            <w:pPr>
              <w:contextualSpacing/>
              <w:rPr>
                <w:rFonts w:ascii="Arial" w:hAnsi="Arial" w:cs="Arial"/>
                <w:sz w:val="20"/>
                <w:szCs w:val="20"/>
              </w:rPr>
            </w:pPr>
            <w:r w:rsidRPr="005E6206">
              <w:rPr>
                <w:rFonts w:ascii="Arial" w:hAnsi="Arial" w:cs="Arial"/>
                <w:sz w:val="20"/>
                <w:szCs w:val="20"/>
              </w:rPr>
              <w:t xml:space="preserve">Using the JIT module in eRA Commons, the JIT report will be reviewed and printed.  </w:t>
            </w:r>
          </w:p>
        </w:tc>
        <w:tc>
          <w:tcPr>
            <w:tcW w:w="270" w:type="dxa"/>
            <w:tcBorders>
              <w:top w:val="single" w:sz="4" w:space="0" w:color="auto"/>
              <w:bottom w:val="single" w:sz="4" w:space="0" w:color="auto"/>
            </w:tcBorders>
            <w:shd w:val="clear" w:color="auto" w:fill="E2EFD9" w:themeFill="accent6" w:themeFillTint="33"/>
          </w:tcPr>
          <w:p w14:paraId="75682C5D" w14:textId="77777777" w:rsidR="00CC1D26" w:rsidRPr="005E6206" w:rsidRDefault="00CC1D26" w:rsidP="00CC1D26">
            <w:pPr>
              <w:contextualSpacing/>
              <w:rPr>
                <w:rFonts w:ascii="Arial" w:hAnsi="Arial" w:cs="Arial"/>
                <w:sz w:val="20"/>
                <w:szCs w:val="20"/>
              </w:rPr>
            </w:pPr>
          </w:p>
        </w:tc>
      </w:tr>
      <w:tr w:rsidR="00C85402" w:rsidRPr="005E6206" w14:paraId="2F2DFAE9" w14:textId="77777777" w:rsidTr="005B1653">
        <w:tc>
          <w:tcPr>
            <w:tcW w:w="430" w:type="dxa"/>
            <w:tcBorders>
              <w:top w:val="single" w:sz="4" w:space="0" w:color="auto"/>
              <w:bottom w:val="single" w:sz="4" w:space="0" w:color="auto"/>
            </w:tcBorders>
          </w:tcPr>
          <w:p w14:paraId="5C0A39B2" w14:textId="77777777" w:rsidR="00C85402" w:rsidRPr="005E6206" w:rsidRDefault="00C85402" w:rsidP="00C85402">
            <w:pPr>
              <w:rPr>
                <w:rFonts w:ascii="Arial" w:hAnsi="Arial" w:cs="Arial"/>
              </w:rPr>
            </w:pPr>
          </w:p>
        </w:tc>
        <w:tc>
          <w:tcPr>
            <w:tcW w:w="10095" w:type="dxa"/>
            <w:gridSpan w:val="2"/>
            <w:tcBorders>
              <w:top w:val="single" w:sz="4" w:space="0" w:color="auto"/>
              <w:bottom w:val="single" w:sz="4" w:space="0" w:color="auto"/>
            </w:tcBorders>
          </w:tcPr>
          <w:p w14:paraId="0F5439A2" w14:textId="77777777" w:rsidR="00C85402" w:rsidRPr="005E6206" w:rsidRDefault="00C85402" w:rsidP="008516FB">
            <w:pPr>
              <w:pStyle w:val="ListParagraph"/>
              <w:numPr>
                <w:ilvl w:val="0"/>
                <w:numId w:val="11"/>
              </w:numPr>
              <w:spacing w:after="0" w:line="312" w:lineRule="auto"/>
              <w:rPr>
                <w:rFonts w:ascii="Arial" w:hAnsi="Arial" w:cs="Arial"/>
                <w:sz w:val="20"/>
                <w:szCs w:val="20"/>
              </w:rPr>
            </w:pPr>
            <w:r w:rsidRPr="005E6206">
              <w:rPr>
                <w:rFonts w:ascii="Arial" w:hAnsi="Arial" w:cs="Arial"/>
                <w:sz w:val="20"/>
                <w:szCs w:val="20"/>
              </w:rPr>
              <w:t xml:space="preserve">Once notified by the Research Administrator (RA) that the JIT documents are ready for a review, the Grant Administrator (GA) reviews all the applicable documents mentioned in this checklist. </w:t>
            </w:r>
          </w:p>
          <w:p w14:paraId="0E4848AB" w14:textId="03A2FAA0" w:rsidR="00AA545F" w:rsidRPr="005E6206" w:rsidRDefault="00AA545F" w:rsidP="008516FB">
            <w:pPr>
              <w:pStyle w:val="ListParagraph"/>
              <w:numPr>
                <w:ilvl w:val="0"/>
                <w:numId w:val="11"/>
              </w:numPr>
              <w:spacing w:after="0" w:line="312" w:lineRule="auto"/>
              <w:rPr>
                <w:rFonts w:ascii="Arial" w:hAnsi="Arial" w:cs="Arial"/>
                <w:sz w:val="20"/>
                <w:szCs w:val="20"/>
              </w:rPr>
            </w:pPr>
            <w:r w:rsidRPr="005E6206">
              <w:rPr>
                <w:rFonts w:ascii="Arial" w:hAnsi="Arial" w:cs="Arial"/>
                <w:sz w:val="20"/>
                <w:szCs w:val="20"/>
              </w:rPr>
              <w:t xml:space="preserve">Prior to the review of the JIT documents, the GA should confirm with the Conflict of Interest office that all financial conflict of interest disclosures are cleared. To do this an email with the project </w:t>
            </w:r>
            <w:r w:rsidR="00305DBC" w:rsidRPr="005E6206">
              <w:rPr>
                <w:rFonts w:ascii="Arial" w:hAnsi="Arial" w:cs="Arial"/>
                <w:sz w:val="20"/>
                <w:szCs w:val="20"/>
              </w:rPr>
              <w:t>title and list of senior key personnel can be sent to coi@bu.edu.</w:t>
            </w:r>
          </w:p>
          <w:p w14:paraId="2D33B8C5" w14:textId="77777777" w:rsidR="00C85402" w:rsidRPr="005E6206" w:rsidRDefault="00C85402" w:rsidP="008516FB">
            <w:pPr>
              <w:pStyle w:val="ListParagraph"/>
              <w:numPr>
                <w:ilvl w:val="0"/>
                <w:numId w:val="11"/>
              </w:numPr>
              <w:spacing w:after="0" w:line="312" w:lineRule="auto"/>
              <w:rPr>
                <w:rFonts w:ascii="Arial" w:hAnsi="Arial" w:cs="Arial"/>
                <w:sz w:val="20"/>
                <w:szCs w:val="20"/>
              </w:rPr>
            </w:pPr>
            <w:r w:rsidRPr="005E6206">
              <w:rPr>
                <w:rFonts w:ascii="Arial" w:hAnsi="Arial" w:cs="Arial"/>
                <w:sz w:val="20"/>
                <w:szCs w:val="20"/>
              </w:rPr>
              <w:t xml:space="preserve">The GA will print out all the items and include it in the grey folder. </w:t>
            </w:r>
          </w:p>
          <w:p w14:paraId="34442AE5" w14:textId="18830221" w:rsidR="00C85402" w:rsidRPr="005E6206" w:rsidRDefault="00C85402" w:rsidP="008516FB">
            <w:pPr>
              <w:pStyle w:val="ListParagraph"/>
              <w:numPr>
                <w:ilvl w:val="0"/>
                <w:numId w:val="11"/>
              </w:numPr>
              <w:spacing w:after="0" w:line="312" w:lineRule="auto"/>
              <w:rPr>
                <w:rFonts w:ascii="Arial" w:hAnsi="Arial" w:cs="Arial"/>
                <w:sz w:val="20"/>
                <w:szCs w:val="20"/>
              </w:rPr>
            </w:pPr>
            <w:r w:rsidRPr="005E6206">
              <w:rPr>
                <w:rFonts w:ascii="Arial" w:hAnsi="Arial" w:cs="Arial"/>
                <w:sz w:val="20"/>
                <w:szCs w:val="20"/>
              </w:rPr>
              <w:t xml:space="preserve">The GA works with the department offering suggested corrections and </w:t>
            </w:r>
            <w:r w:rsidR="00DF76F0" w:rsidRPr="005E6206">
              <w:rPr>
                <w:rFonts w:ascii="Arial" w:hAnsi="Arial" w:cs="Arial"/>
                <w:sz w:val="20"/>
                <w:szCs w:val="20"/>
              </w:rPr>
              <w:t xml:space="preserve">if needed </w:t>
            </w:r>
            <w:r w:rsidRPr="005E6206">
              <w:rPr>
                <w:rFonts w:ascii="Arial" w:hAnsi="Arial" w:cs="Arial"/>
                <w:sz w:val="20"/>
                <w:szCs w:val="20"/>
              </w:rPr>
              <w:t>can upda</w:t>
            </w:r>
            <w:r w:rsidR="00DF76F0" w:rsidRPr="005E6206">
              <w:rPr>
                <w:rFonts w:ascii="Arial" w:hAnsi="Arial" w:cs="Arial"/>
                <w:sz w:val="20"/>
                <w:szCs w:val="20"/>
              </w:rPr>
              <w:t xml:space="preserve">te the required JIT documents. </w:t>
            </w:r>
            <w:r w:rsidRPr="005E6206">
              <w:rPr>
                <w:rFonts w:ascii="Arial" w:hAnsi="Arial" w:cs="Arial"/>
                <w:sz w:val="20"/>
                <w:szCs w:val="20"/>
              </w:rPr>
              <w:t>This may be difficult given that the forms are a pdf.</w:t>
            </w:r>
          </w:p>
          <w:p w14:paraId="362E580D" w14:textId="77777777" w:rsidR="00C85402" w:rsidRPr="005E6206" w:rsidRDefault="00C85402" w:rsidP="008516FB">
            <w:pPr>
              <w:pStyle w:val="ListParagraph"/>
              <w:numPr>
                <w:ilvl w:val="0"/>
                <w:numId w:val="11"/>
              </w:numPr>
              <w:spacing w:after="0" w:line="312" w:lineRule="auto"/>
              <w:rPr>
                <w:rFonts w:ascii="Arial" w:hAnsi="Arial" w:cs="Arial"/>
                <w:sz w:val="20"/>
                <w:szCs w:val="20"/>
              </w:rPr>
            </w:pPr>
            <w:r w:rsidRPr="005E6206">
              <w:rPr>
                <w:rFonts w:ascii="Arial" w:hAnsi="Arial" w:cs="Arial"/>
                <w:sz w:val="20"/>
                <w:szCs w:val="20"/>
              </w:rPr>
              <w:t xml:space="preserve">Once all corrections are made, the JIT is transmitted to the Associate Director who provides a final review of the report prior to submitting the JIT.  </w:t>
            </w:r>
          </w:p>
          <w:p w14:paraId="2AF4C1CA" w14:textId="77777777" w:rsidR="00C85402" w:rsidRPr="005E6206" w:rsidRDefault="00C85402" w:rsidP="008516FB">
            <w:pPr>
              <w:pStyle w:val="ListParagraph"/>
              <w:numPr>
                <w:ilvl w:val="0"/>
                <w:numId w:val="11"/>
              </w:numPr>
              <w:spacing w:after="0" w:line="312" w:lineRule="auto"/>
              <w:rPr>
                <w:rFonts w:ascii="Arial" w:hAnsi="Arial" w:cs="Arial"/>
                <w:sz w:val="20"/>
                <w:szCs w:val="20"/>
              </w:rPr>
            </w:pPr>
            <w:r w:rsidRPr="005E6206">
              <w:rPr>
                <w:rFonts w:ascii="Arial" w:hAnsi="Arial" w:cs="Arial"/>
                <w:sz w:val="20"/>
                <w:szCs w:val="20"/>
              </w:rPr>
              <w:t xml:space="preserve">If there are no changes needed the Associate Director will submit the JIT and email the confirmations to the RA and GA.  </w:t>
            </w:r>
          </w:p>
          <w:p w14:paraId="0ABB3EC6" w14:textId="77777777" w:rsidR="00C85402" w:rsidRPr="005E6206" w:rsidRDefault="00C85402" w:rsidP="008516FB">
            <w:pPr>
              <w:pStyle w:val="ListParagraph"/>
              <w:numPr>
                <w:ilvl w:val="0"/>
                <w:numId w:val="11"/>
              </w:numPr>
              <w:spacing w:after="0" w:line="312" w:lineRule="auto"/>
              <w:rPr>
                <w:rFonts w:ascii="Arial" w:hAnsi="Arial" w:cs="Arial"/>
              </w:rPr>
            </w:pPr>
            <w:r w:rsidRPr="005E6206">
              <w:rPr>
                <w:rFonts w:ascii="Arial" w:hAnsi="Arial" w:cs="Arial"/>
                <w:sz w:val="20"/>
                <w:szCs w:val="20"/>
              </w:rPr>
              <w:t>The grey folder along with the email confirmation and final submitted JIT will be printed and filed in the pre award cabinet.</w:t>
            </w:r>
            <w:r w:rsidRPr="005E6206">
              <w:rPr>
                <w:rFonts w:ascii="Arial" w:hAnsi="Arial" w:cs="Arial"/>
              </w:rPr>
              <w:t xml:space="preserve">   </w:t>
            </w:r>
          </w:p>
        </w:tc>
        <w:tc>
          <w:tcPr>
            <w:tcW w:w="270" w:type="dxa"/>
            <w:tcBorders>
              <w:top w:val="single" w:sz="4" w:space="0" w:color="auto"/>
              <w:bottom w:val="single" w:sz="4" w:space="0" w:color="auto"/>
            </w:tcBorders>
            <w:shd w:val="clear" w:color="auto" w:fill="E2EFD9" w:themeFill="accent6" w:themeFillTint="33"/>
          </w:tcPr>
          <w:p w14:paraId="4C63E3FB" w14:textId="77777777" w:rsidR="00C85402" w:rsidRPr="005E6206" w:rsidRDefault="00C85402" w:rsidP="00C85402">
            <w:pPr>
              <w:contextualSpacing/>
              <w:rPr>
                <w:rFonts w:ascii="Arial" w:hAnsi="Arial" w:cs="Arial"/>
                <w:sz w:val="20"/>
                <w:szCs w:val="20"/>
              </w:rPr>
            </w:pPr>
          </w:p>
        </w:tc>
      </w:tr>
    </w:tbl>
    <w:p w14:paraId="11FF979C" w14:textId="77777777" w:rsidR="00843AE2" w:rsidRPr="005E6206" w:rsidRDefault="00843AE2">
      <w:pPr>
        <w:rPr>
          <w:rFonts w:ascii="Arial" w:hAnsi="Arial" w:cs="Arial"/>
        </w:rPr>
      </w:pPr>
    </w:p>
    <w:sectPr w:rsidR="00843AE2" w:rsidRPr="005E6206" w:rsidSect="003900D1">
      <w:headerReference w:type="default" r:id="rId14"/>
      <w:footerReference w:type="default" r:id="rId15"/>
      <w:headerReference w:type="first" r:id="rId16"/>
      <w:footerReference w:type="first" r:id="rId1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42754" w14:textId="77777777" w:rsidR="003E1DA6" w:rsidRDefault="003E1DA6" w:rsidP="00C85402">
      <w:pPr>
        <w:spacing w:after="0" w:line="240" w:lineRule="auto"/>
      </w:pPr>
      <w:r>
        <w:separator/>
      </w:r>
    </w:p>
  </w:endnote>
  <w:endnote w:type="continuationSeparator" w:id="0">
    <w:p w14:paraId="4332272A" w14:textId="77777777" w:rsidR="003E1DA6" w:rsidRDefault="003E1DA6" w:rsidP="00C8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234628"/>
      <w:docPartObj>
        <w:docPartGallery w:val="Page Numbers (Bottom of Page)"/>
        <w:docPartUnique/>
      </w:docPartObj>
    </w:sdtPr>
    <w:sdtEndPr>
      <w:rPr>
        <w:rFonts w:ascii="Arial" w:hAnsi="Arial" w:cs="Arial"/>
        <w:noProof/>
        <w:sz w:val="16"/>
        <w:szCs w:val="16"/>
      </w:rPr>
    </w:sdtEndPr>
    <w:sdtContent>
      <w:p w14:paraId="4A487C5C" w14:textId="6A067ED6" w:rsidR="00BA59FE" w:rsidRPr="00BA59FE" w:rsidRDefault="003900D1">
        <w:pPr>
          <w:pStyle w:val="Footer"/>
          <w:rPr>
            <w:rFonts w:ascii="Arial" w:hAnsi="Arial" w:cs="Arial"/>
            <w:sz w:val="16"/>
            <w:szCs w:val="16"/>
          </w:rPr>
        </w:pPr>
        <w:r w:rsidRPr="003900D1">
          <w:rPr>
            <w:rFonts w:ascii="Arial" w:hAnsi="Arial" w:cs="Arial"/>
            <w:sz w:val="16"/>
            <w:szCs w:val="16"/>
          </w:rPr>
          <w:fldChar w:fldCharType="begin"/>
        </w:r>
        <w:r w:rsidRPr="003900D1">
          <w:rPr>
            <w:rFonts w:ascii="Arial" w:hAnsi="Arial" w:cs="Arial"/>
            <w:sz w:val="16"/>
            <w:szCs w:val="16"/>
          </w:rPr>
          <w:instrText xml:space="preserve"> PAGE   \* MERGEFORMAT </w:instrText>
        </w:r>
        <w:r w:rsidRPr="003900D1">
          <w:rPr>
            <w:rFonts w:ascii="Arial" w:hAnsi="Arial" w:cs="Arial"/>
            <w:sz w:val="16"/>
            <w:szCs w:val="16"/>
          </w:rPr>
          <w:fldChar w:fldCharType="separate"/>
        </w:r>
        <w:r w:rsidR="003E1DA6">
          <w:rPr>
            <w:rFonts w:ascii="Arial" w:hAnsi="Arial" w:cs="Arial"/>
            <w:noProof/>
            <w:sz w:val="16"/>
            <w:szCs w:val="16"/>
          </w:rPr>
          <w:t>1</w:t>
        </w:r>
        <w:r w:rsidRPr="003900D1">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t>Updated 6/5/2017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44A3" w14:textId="30BCC201" w:rsidR="00BA59FE" w:rsidRPr="00BA59FE" w:rsidRDefault="003E1DA6">
    <w:pPr>
      <w:pStyle w:val="Footer"/>
      <w:rPr>
        <w:rFonts w:ascii="Arial" w:hAnsi="Arial" w:cs="Arial"/>
        <w:sz w:val="16"/>
        <w:szCs w:val="16"/>
      </w:rPr>
    </w:pPr>
    <w:sdt>
      <w:sdtPr>
        <w:rPr>
          <w:rFonts w:ascii="Arial" w:hAnsi="Arial" w:cs="Arial"/>
          <w:sz w:val="16"/>
          <w:szCs w:val="16"/>
        </w:rPr>
        <w:id w:val="-935826328"/>
        <w:docPartObj>
          <w:docPartGallery w:val="Page Numbers (Bottom of Page)"/>
          <w:docPartUnique/>
        </w:docPartObj>
      </w:sdtPr>
      <w:sdtEndPr>
        <w:rPr>
          <w:noProof/>
        </w:rPr>
      </w:sdtEndPr>
      <w:sdtContent>
        <w:r w:rsidR="00BA59FE" w:rsidRPr="00BA59FE">
          <w:rPr>
            <w:rFonts w:ascii="Arial" w:hAnsi="Arial" w:cs="Arial"/>
            <w:sz w:val="16"/>
            <w:szCs w:val="16"/>
          </w:rPr>
          <w:fldChar w:fldCharType="begin"/>
        </w:r>
        <w:r w:rsidR="00BA59FE" w:rsidRPr="00BA59FE">
          <w:rPr>
            <w:rFonts w:ascii="Arial" w:hAnsi="Arial" w:cs="Arial"/>
            <w:sz w:val="16"/>
            <w:szCs w:val="16"/>
          </w:rPr>
          <w:instrText xml:space="preserve"> PAGE   \* MERGEFORMAT </w:instrText>
        </w:r>
        <w:r w:rsidR="00BA59FE" w:rsidRPr="00BA59FE">
          <w:rPr>
            <w:rFonts w:ascii="Arial" w:hAnsi="Arial" w:cs="Arial"/>
            <w:sz w:val="16"/>
            <w:szCs w:val="16"/>
          </w:rPr>
          <w:fldChar w:fldCharType="separate"/>
        </w:r>
        <w:r w:rsidR="003900D1">
          <w:rPr>
            <w:rFonts w:ascii="Arial" w:hAnsi="Arial" w:cs="Arial"/>
            <w:noProof/>
            <w:sz w:val="16"/>
            <w:szCs w:val="16"/>
          </w:rPr>
          <w:t>1</w:t>
        </w:r>
        <w:r w:rsidR="00BA59FE" w:rsidRPr="00BA59FE">
          <w:rPr>
            <w:rFonts w:ascii="Arial" w:hAnsi="Arial" w:cs="Arial"/>
            <w:noProof/>
            <w:sz w:val="16"/>
            <w:szCs w:val="16"/>
          </w:rPr>
          <w:fldChar w:fldCharType="end"/>
        </w:r>
      </w:sdtContent>
    </w:sdt>
    <w:r w:rsidR="0071208A">
      <w:rPr>
        <w:rFonts w:ascii="Arial" w:hAnsi="Arial" w:cs="Arial"/>
        <w:noProof/>
        <w:sz w:val="16"/>
        <w:szCs w:val="16"/>
      </w:rPr>
      <w:tab/>
    </w:r>
    <w:r w:rsidR="0071208A">
      <w:rPr>
        <w:rFonts w:ascii="Arial" w:hAnsi="Arial" w:cs="Arial"/>
        <w:noProof/>
        <w:sz w:val="16"/>
        <w:szCs w:val="16"/>
      </w:rPr>
      <w:tab/>
      <w:t>Updated 6/7</w:t>
    </w:r>
    <w:r w:rsidR="0071208A" w:rsidRPr="0071208A">
      <w:rPr>
        <w:rFonts w:ascii="Arial" w:hAnsi="Arial" w:cs="Arial"/>
        <w:noProof/>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95434" w14:textId="77777777" w:rsidR="003E1DA6" w:rsidRDefault="003E1DA6" w:rsidP="00C85402">
      <w:pPr>
        <w:spacing w:after="0" w:line="240" w:lineRule="auto"/>
      </w:pPr>
      <w:r>
        <w:separator/>
      </w:r>
    </w:p>
  </w:footnote>
  <w:footnote w:type="continuationSeparator" w:id="0">
    <w:p w14:paraId="53A42EDD" w14:textId="77777777" w:rsidR="003E1DA6" w:rsidRDefault="003E1DA6" w:rsidP="00C85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29A92" w14:textId="0743BCB4" w:rsidR="00C85402" w:rsidRDefault="0071208A" w:rsidP="0071208A">
    <w:pPr>
      <w:pStyle w:val="Header"/>
      <w:tabs>
        <w:tab w:val="clear" w:pos="9360"/>
        <w:tab w:val="right" w:pos="10350"/>
      </w:tabs>
    </w:pPr>
    <w:r>
      <w:rPr>
        <w:rFonts w:ascii="Arial" w:hAnsi="Arial" w:cs="Arial"/>
        <w:noProof/>
        <w:color w:val="333333"/>
        <w:sz w:val="20"/>
        <w:szCs w:val="20"/>
      </w:rPr>
      <w:drawing>
        <wp:inline distT="0" distB="0" distL="0" distR="0" wp14:anchorId="4CAAEC0E" wp14:editId="542EA46F">
          <wp:extent cx="1103921" cy="468796"/>
          <wp:effectExtent l="0" t="0" r="1270" b="7620"/>
          <wp:docPr id="1" name="Picture 1" descr="http://internal.bmc.org/corpcommunicate/images/BMC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ernal.bmc.org/corpcommunicate/images/BMC_Logo_RGB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770" cy="47382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FF7F6" w14:textId="666042C2" w:rsidR="002758D0" w:rsidRDefault="0071208A" w:rsidP="0071208A">
    <w:pPr>
      <w:pStyle w:val="Header"/>
    </w:pPr>
    <w:r>
      <w:rPr>
        <w:rFonts w:ascii="Arial" w:hAnsi="Arial" w:cs="Arial"/>
        <w:noProof/>
        <w:color w:val="333333"/>
        <w:sz w:val="20"/>
        <w:szCs w:val="20"/>
      </w:rPr>
      <w:drawing>
        <wp:inline distT="0" distB="0" distL="0" distR="0" wp14:anchorId="15EE0244" wp14:editId="66D9B2DB">
          <wp:extent cx="1103921" cy="468796"/>
          <wp:effectExtent l="0" t="0" r="1270" b="7620"/>
          <wp:docPr id="4" name="Picture 4" descr="http://internal.bmc.org/corpcommunicate/images/BMC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ernal.bmc.org/corpcommunicate/images/BMC_Logo_RGB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770" cy="4738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MC900441310[3]"/>
      </v:shape>
    </w:pict>
  </w:numPicBullet>
  <w:abstractNum w:abstractNumId="0" w15:restartNumberingAfterBreak="0">
    <w:nsid w:val="02814149"/>
    <w:multiLevelType w:val="hybridMultilevel"/>
    <w:tmpl w:val="AFB2B76A"/>
    <w:lvl w:ilvl="0" w:tplc="B80E6ADA">
      <w:start w:val="1"/>
      <w:numFmt w:val="bullet"/>
      <w:lvlText w:val=""/>
      <w:lvlJc w:val="left"/>
      <w:pPr>
        <w:ind w:left="360" w:hanging="360"/>
      </w:pPr>
      <w:rPr>
        <w:rFonts w:ascii="Wingdings" w:hAnsi="Wingding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E0720"/>
    <w:multiLevelType w:val="hybridMultilevel"/>
    <w:tmpl w:val="6A9A131A"/>
    <w:lvl w:ilvl="0" w:tplc="B80E6ADA">
      <w:start w:val="1"/>
      <w:numFmt w:val="bullet"/>
      <w:lvlText w:val=""/>
      <w:lvlJc w:val="left"/>
      <w:pPr>
        <w:ind w:left="360" w:hanging="360"/>
      </w:pPr>
      <w:rPr>
        <w:rFonts w:ascii="Wingdings" w:hAnsi="Wingding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94E42"/>
    <w:multiLevelType w:val="hybridMultilevel"/>
    <w:tmpl w:val="328A4510"/>
    <w:lvl w:ilvl="0" w:tplc="D6CE40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C7F4B"/>
    <w:multiLevelType w:val="hybridMultilevel"/>
    <w:tmpl w:val="3AA0621A"/>
    <w:lvl w:ilvl="0" w:tplc="D6CE40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85CE9"/>
    <w:multiLevelType w:val="hybridMultilevel"/>
    <w:tmpl w:val="5FE2C2E0"/>
    <w:lvl w:ilvl="0" w:tplc="B80E6ADA">
      <w:start w:val="1"/>
      <w:numFmt w:val="bullet"/>
      <w:lvlText w:val=""/>
      <w:lvlJc w:val="left"/>
      <w:pPr>
        <w:ind w:left="360" w:hanging="360"/>
      </w:pPr>
      <w:rPr>
        <w:rFonts w:ascii="Wingdings" w:hAnsi="Wingding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62BA5"/>
    <w:multiLevelType w:val="multilevel"/>
    <w:tmpl w:val="37C0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557669"/>
    <w:multiLevelType w:val="hybridMultilevel"/>
    <w:tmpl w:val="9DE4D26E"/>
    <w:lvl w:ilvl="0" w:tplc="B80E6ADA">
      <w:start w:val="1"/>
      <w:numFmt w:val="bullet"/>
      <w:lvlText w:val=""/>
      <w:lvlJc w:val="left"/>
      <w:pPr>
        <w:ind w:left="360" w:hanging="360"/>
      </w:pPr>
      <w:rPr>
        <w:rFonts w:ascii="Wingdings" w:hAnsi="Wingding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2347B"/>
    <w:multiLevelType w:val="hybridMultilevel"/>
    <w:tmpl w:val="216811F0"/>
    <w:lvl w:ilvl="0" w:tplc="B80E6ADA">
      <w:start w:val="1"/>
      <w:numFmt w:val="bullet"/>
      <w:lvlText w:val=""/>
      <w:lvlJc w:val="left"/>
      <w:pPr>
        <w:ind w:left="360" w:hanging="360"/>
      </w:pPr>
      <w:rPr>
        <w:rFonts w:ascii="Wingdings" w:hAnsi="Wingding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A5441"/>
    <w:multiLevelType w:val="hybridMultilevel"/>
    <w:tmpl w:val="1CDC6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535EED"/>
    <w:multiLevelType w:val="hybridMultilevel"/>
    <w:tmpl w:val="50E60C0E"/>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65384F"/>
    <w:multiLevelType w:val="hybridMultilevel"/>
    <w:tmpl w:val="E52EDD26"/>
    <w:lvl w:ilvl="0" w:tplc="B80E6ADA">
      <w:start w:val="1"/>
      <w:numFmt w:val="bullet"/>
      <w:lvlText w:val=""/>
      <w:lvlJc w:val="left"/>
      <w:pPr>
        <w:ind w:left="360" w:hanging="360"/>
      </w:pPr>
      <w:rPr>
        <w:rFonts w:ascii="Wingdings" w:hAnsi="Wingdings" w:hint="default"/>
        <w:color w:val="2F5496"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0"/>
  </w:num>
  <w:num w:numId="5">
    <w:abstractNumId w:val="1"/>
  </w:num>
  <w:num w:numId="6">
    <w:abstractNumId w:val="9"/>
  </w:num>
  <w:num w:numId="7">
    <w:abstractNumId w:val="0"/>
  </w:num>
  <w:num w:numId="8">
    <w:abstractNumId w:val="6"/>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A6"/>
    <w:rsid w:val="00004792"/>
    <w:rsid w:val="00007D0A"/>
    <w:rsid w:val="00046B76"/>
    <w:rsid w:val="000F0D40"/>
    <w:rsid w:val="00194262"/>
    <w:rsid w:val="001C7AC1"/>
    <w:rsid w:val="0023011C"/>
    <w:rsid w:val="002343C5"/>
    <w:rsid w:val="00257B18"/>
    <w:rsid w:val="00270D4F"/>
    <w:rsid w:val="002758D0"/>
    <w:rsid w:val="002F4521"/>
    <w:rsid w:val="002F58ED"/>
    <w:rsid w:val="00305DBC"/>
    <w:rsid w:val="0032300D"/>
    <w:rsid w:val="00325A23"/>
    <w:rsid w:val="00386F66"/>
    <w:rsid w:val="003900D1"/>
    <w:rsid w:val="003E0743"/>
    <w:rsid w:val="003E1DA6"/>
    <w:rsid w:val="00410842"/>
    <w:rsid w:val="00460C9F"/>
    <w:rsid w:val="00490A32"/>
    <w:rsid w:val="004C57D6"/>
    <w:rsid w:val="004E7F59"/>
    <w:rsid w:val="00504901"/>
    <w:rsid w:val="005E0A8D"/>
    <w:rsid w:val="005E6206"/>
    <w:rsid w:val="006320BA"/>
    <w:rsid w:val="00637030"/>
    <w:rsid w:val="0071208A"/>
    <w:rsid w:val="007A720E"/>
    <w:rsid w:val="007D38DE"/>
    <w:rsid w:val="00843AE2"/>
    <w:rsid w:val="008516FB"/>
    <w:rsid w:val="008613B6"/>
    <w:rsid w:val="008C0FA6"/>
    <w:rsid w:val="008E430E"/>
    <w:rsid w:val="00910A4B"/>
    <w:rsid w:val="00970B9A"/>
    <w:rsid w:val="009A4BC5"/>
    <w:rsid w:val="009B1215"/>
    <w:rsid w:val="00A1780F"/>
    <w:rsid w:val="00A615D2"/>
    <w:rsid w:val="00A86965"/>
    <w:rsid w:val="00AA545F"/>
    <w:rsid w:val="00AE594B"/>
    <w:rsid w:val="00B71451"/>
    <w:rsid w:val="00B74CA9"/>
    <w:rsid w:val="00BA59FE"/>
    <w:rsid w:val="00BD195F"/>
    <w:rsid w:val="00C70715"/>
    <w:rsid w:val="00C85402"/>
    <w:rsid w:val="00CC1D26"/>
    <w:rsid w:val="00DD7B83"/>
    <w:rsid w:val="00DF761F"/>
    <w:rsid w:val="00DF76F0"/>
    <w:rsid w:val="00E04E0B"/>
    <w:rsid w:val="00E61310"/>
    <w:rsid w:val="00EC655E"/>
    <w:rsid w:val="00F01019"/>
    <w:rsid w:val="00F621E6"/>
    <w:rsid w:val="00FE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C22EB"/>
  <w15:chartTrackingRefBased/>
  <w15:docId w15:val="{4E2DEC20-79AE-4D35-ACC8-DD664372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0842"/>
    <w:rPr>
      <w:color w:val="0000FF"/>
      <w:u w:val="single"/>
    </w:rPr>
  </w:style>
  <w:style w:type="character" w:styleId="FollowedHyperlink">
    <w:name w:val="FollowedHyperlink"/>
    <w:basedOn w:val="DefaultParagraphFont"/>
    <w:uiPriority w:val="99"/>
    <w:semiHidden/>
    <w:unhideWhenUsed/>
    <w:rsid w:val="00E61310"/>
    <w:rPr>
      <w:color w:val="954F72" w:themeColor="followedHyperlink"/>
      <w:u w:val="single"/>
    </w:rPr>
  </w:style>
  <w:style w:type="paragraph" w:styleId="ListParagraph">
    <w:name w:val="List Paragraph"/>
    <w:basedOn w:val="Normal"/>
    <w:uiPriority w:val="34"/>
    <w:qFormat/>
    <w:rsid w:val="00A615D2"/>
    <w:pPr>
      <w:spacing w:after="200" w:line="276" w:lineRule="auto"/>
      <w:ind w:left="720"/>
      <w:contextualSpacing/>
    </w:pPr>
  </w:style>
  <w:style w:type="table" w:styleId="LightList-Accent6">
    <w:name w:val="Light List Accent 6"/>
    <w:basedOn w:val="TableNormal"/>
    <w:uiPriority w:val="61"/>
    <w:rsid w:val="00A615D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Header">
    <w:name w:val="header"/>
    <w:basedOn w:val="Normal"/>
    <w:link w:val="HeaderChar"/>
    <w:uiPriority w:val="99"/>
    <w:unhideWhenUsed/>
    <w:rsid w:val="00C8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402"/>
  </w:style>
  <w:style w:type="paragraph" w:styleId="Footer">
    <w:name w:val="footer"/>
    <w:basedOn w:val="Normal"/>
    <w:link w:val="FooterChar"/>
    <w:uiPriority w:val="99"/>
    <w:unhideWhenUsed/>
    <w:rsid w:val="00C8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402"/>
  </w:style>
  <w:style w:type="character" w:styleId="CommentReference">
    <w:name w:val="annotation reference"/>
    <w:basedOn w:val="DefaultParagraphFont"/>
    <w:uiPriority w:val="99"/>
    <w:semiHidden/>
    <w:unhideWhenUsed/>
    <w:rsid w:val="002758D0"/>
    <w:rPr>
      <w:sz w:val="16"/>
      <w:szCs w:val="16"/>
    </w:rPr>
  </w:style>
  <w:style w:type="paragraph" w:styleId="CommentText">
    <w:name w:val="annotation text"/>
    <w:basedOn w:val="Normal"/>
    <w:link w:val="CommentTextChar"/>
    <w:uiPriority w:val="99"/>
    <w:semiHidden/>
    <w:unhideWhenUsed/>
    <w:rsid w:val="002758D0"/>
    <w:pPr>
      <w:spacing w:line="240" w:lineRule="auto"/>
    </w:pPr>
    <w:rPr>
      <w:sz w:val="20"/>
      <w:szCs w:val="20"/>
    </w:rPr>
  </w:style>
  <w:style w:type="character" w:customStyle="1" w:styleId="CommentTextChar">
    <w:name w:val="Comment Text Char"/>
    <w:basedOn w:val="DefaultParagraphFont"/>
    <w:link w:val="CommentText"/>
    <w:uiPriority w:val="99"/>
    <w:semiHidden/>
    <w:rsid w:val="002758D0"/>
    <w:rPr>
      <w:sz w:val="20"/>
      <w:szCs w:val="20"/>
    </w:rPr>
  </w:style>
  <w:style w:type="paragraph" w:styleId="CommentSubject">
    <w:name w:val="annotation subject"/>
    <w:basedOn w:val="CommentText"/>
    <w:next w:val="CommentText"/>
    <w:link w:val="CommentSubjectChar"/>
    <w:uiPriority w:val="99"/>
    <w:semiHidden/>
    <w:unhideWhenUsed/>
    <w:rsid w:val="002758D0"/>
    <w:rPr>
      <w:b/>
      <w:bCs/>
    </w:rPr>
  </w:style>
  <w:style w:type="character" w:customStyle="1" w:styleId="CommentSubjectChar">
    <w:name w:val="Comment Subject Char"/>
    <w:basedOn w:val="CommentTextChar"/>
    <w:link w:val="CommentSubject"/>
    <w:uiPriority w:val="99"/>
    <w:semiHidden/>
    <w:rsid w:val="002758D0"/>
    <w:rPr>
      <w:b/>
      <w:bCs/>
      <w:sz w:val="20"/>
      <w:szCs w:val="20"/>
    </w:rPr>
  </w:style>
  <w:style w:type="paragraph" w:styleId="BalloonText">
    <w:name w:val="Balloon Text"/>
    <w:basedOn w:val="Normal"/>
    <w:link w:val="BalloonTextChar"/>
    <w:uiPriority w:val="99"/>
    <w:semiHidden/>
    <w:unhideWhenUsed/>
    <w:rsid w:val="00275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52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policy/nihgps/HTML5/section_2/2.5_completing_the_pre-award_process.htm?Highlight=Just%20in%20time" TargetMode="External"/><Relationship Id="rId13" Type="http://schemas.openxmlformats.org/officeDocument/2006/relationships/hyperlink" Target="https://commons.era.nih.gov/comm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ds.nih.gov/Institutional_Certification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ansubjects.nih.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umc.bu.edu/ocr/certif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ants.nih.gov/grants/funding/phs398/competing_othersupport.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53352-3434-4D1B-AE32-FE1008A6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 Chanda</dc:creator>
  <cp:keywords/>
  <dc:description/>
  <cp:lastModifiedBy>Jamieson, Ellen</cp:lastModifiedBy>
  <cp:revision>2</cp:revision>
  <dcterms:created xsi:type="dcterms:W3CDTF">2017-06-15T13:11:00Z</dcterms:created>
  <dcterms:modified xsi:type="dcterms:W3CDTF">2017-06-15T13:11:00Z</dcterms:modified>
</cp:coreProperties>
</file>